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427F" w14:textId="0F6B0A66" w:rsidR="002E6E1C" w:rsidRDefault="00000000">
      <w:pPr>
        <w:spacing w:after="200"/>
        <w:jc w:val="center"/>
      </w:pPr>
      <w:r>
        <w:t xml:space="preserve">UNIVERZITET: </w:t>
      </w:r>
      <w:proofErr w:type="spellStart"/>
      <w:r w:rsidR="00C124EC">
        <w:t>Univeryitet</w:t>
      </w:r>
      <w:proofErr w:type="spellEnd"/>
      <w:r w:rsidR="00C124EC">
        <w:t xml:space="preserve"> </w:t>
      </w:r>
      <w:proofErr w:type="spellStart"/>
      <w:r w:rsidR="00C124EC">
        <w:t>Crne</w:t>
      </w:r>
      <w:proofErr w:type="spellEnd"/>
      <w:r w:rsidR="00C124EC">
        <w:t xml:space="preserve"> Gore</w:t>
      </w:r>
    </w:p>
    <w:p w14:paraId="1399E0D9" w14:textId="775E1DFE" w:rsidR="002E6E1C" w:rsidRDefault="00000000">
      <w:pPr>
        <w:spacing w:after="200"/>
        <w:jc w:val="center"/>
      </w:pPr>
      <w:r>
        <w:t xml:space="preserve">FAKULTET: </w:t>
      </w:r>
      <w:proofErr w:type="spellStart"/>
      <w:r w:rsidR="00C124EC">
        <w:t>Medicinski</w:t>
      </w:r>
      <w:proofErr w:type="spellEnd"/>
      <w:r w:rsidR="00C124EC">
        <w:t xml:space="preserve"> </w:t>
      </w:r>
      <w:proofErr w:type="spellStart"/>
      <w:r w:rsidR="00C124EC">
        <w:t>fakultet</w:t>
      </w:r>
      <w:proofErr w:type="spellEnd"/>
    </w:p>
    <w:p w14:paraId="1153AF17" w14:textId="3427DC27" w:rsidR="002E6E1C" w:rsidRDefault="00000000">
      <w:pPr>
        <w:spacing w:after="200"/>
        <w:jc w:val="center"/>
      </w:pPr>
      <w:r>
        <w:t xml:space="preserve">STUDIJSKI </w:t>
      </w:r>
      <w:proofErr w:type="gramStart"/>
      <w:r>
        <w:t xml:space="preserve">PROGRAM </w:t>
      </w:r>
      <w:r w:rsidR="00C124EC">
        <w:rPr>
          <w:lang w:val="sr-Latn-ME"/>
        </w:rPr>
        <w:t>:</w:t>
      </w:r>
      <w:r>
        <w:t>STOMATOLOGIJA</w:t>
      </w:r>
      <w:proofErr w:type="gramEnd"/>
    </w:p>
    <w:p w14:paraId="5270B90E" w14:textId="77777777" w:rsidR="002E6E1C" w:rsidRDefault="00000000">
      <w:pPr>
        <w:spacing w:after="200"/>
        <w:jc w:val="center"/>
      </w:pPr>
      <w:r>
        <w:t>PREDMET: HEMIJA</w:t>
      </w:r>
    </w:p>
    <w:p w14:paraId="497834AA" w14:textId="77777777" w:rsidR="002E6E1C" w:rsidRDefault="00000000">
      <w:r>
        <w:br/>
      </w:r>
      <w:r>
        <w:br/>
      </w:r>
    </w:p>
    <w:p w14:paraId="23892AC9" w14:textId="77777777" w:rsidR="002E6E1C" w:rsidRDefault="00000000">
      <w:pPr>
        <w:spacing w:after="440"/>
        <w:jc w:val="center"/>
      </w:pPr>
      <w:r>
        <w:rPr>
          <w:b/>
          <w:sz w:val="32"/>
        </w:rPr>
        <w:t>SEMINARSKI RAD</w:t>
      </w:r>
    </w:p>
    <w:p w14:paraId="603B305E" w14:textId="77777777" w:rsidR="002E6E1C" w:rsidRDefault="00000000">
      <w:pPr>
        <w:spacing w:after="600"/>
        <w:jc w:val="center"/>
      </w:pPr>
      <w:r>
        <w:rPr>
          <w:b/>
          <w:sz w:val="30"/>
        </w:rPr>
        <w:t>PLJUVAČKA KAO BIOLOŠKI RASTVOR – HEMIJSKI SASTAV I ULOGA U ODRŽAVANJU ORALNE HOMEOSTAZE</w:t>
      </w:r>
    </w:p>
    <w:p w14:paraId="59BB6DB3" w14:textId="77777777" w:rsidR="002E6E1C" w:rsidRDefault="00000000">
      <w:r>
        <w:br/>
      </w:r>
      <w:r>
        <w:br/>
      </w:r>
    </w:p>
    <w:p w14:paraId="066C46EB" w14:textId="14D78687" w:rsidR="002E6E1C" w:rsidRDefault="00000000">
      <w:pPr>
        <w:spacing w:after="240"/>
      </w:pPr>
      <w:r>
        <w:t xml:space="preserve">Student: </w:t>
      </w:r>
      <w:proofErr w:type="spellStart"/>
      <w:r w:rsidR="00C124EC">
        <w:t>Bobičić</w:t>
      </w:r>
      <w:proofErr w:type="spellEnd"/>
      <w:r w:rsidR="00C124EC">
        <w:t xml:space="preserve"> Jelena</w:t>
      </w:r>
    </w:p>
    <w:p w14:paraId="02E96584" w14:textId="5D66C24B" w:rsidR="002E6E1C" w:rsidRDefault="00000000">
      <w:pPr>
        <w:spacing w:after="240"/>
      </w:pPr>
      <w:proofErr w:type="spellStart"/>
      <w:r>
        <w:t>Broj</w:t>
      </w:r>
      <w:proofErr w:type="spellEnd"/>
      <w:r>
        <w:t xml:space="preserve"> </w:t>
      </w:r>
      <w:proofErr w:type="spellStart"/>
      <w:r>
        <w:t>indeksa</w:t>
      </w:r>
      <w:proofErr w:type="spellEnd"/>
      <w:r>
        <w:t xml:space="preserve">: </w:t>
      </w:r>
      <w:r w:rsidR="00C124EC">
        <w:t>26/26</w:t>
      </w:r>
    </w:p>
    <w:p w14:paraId="4EE818A6" w14:textId="27DF0493" w:rsidR="002E6E1C" w:rsidRDefault="00000000">
      <w:pPr>
        <w:spacing w:after="240"/>
      </w:pPr>
      <w:proofErr w:type="spellStart"/>
      <w:r>
        <w:t>Nastavnik</w:t>
      </w:r>
      <w:proofErr w:type="spellEnd"/>
      <w:r w:rsidR="00E90B87">
        <w:rPr>
          <w:lang w:val="sr-Latn-ME"/>
        </w:rPr>
        <w:t>:</w:t>
      </w:r>
      <w:r w:rsidR="002C4719">
        <w:t xml:space="preserve"> prof.</w:t>
      </w:r>
      <w:r w:rsidR="00C124EC">
        <w:t xml:space="preserve"> </w:t>
      </w:r>
      <w:r w:rsidR="00E90B87">
        <w:t xml:space="preserve">dr </w:t>
      </w:r>
      <w:r w:rsidR="00C124EC">
        <w:t>Milica Kosović-</w:t>
      </w:r>
      <w:proofErr w:type="spellStart"/>
      <w:r w:rsidR="00C124EC">
        <w:t>Perutović</w:t>
      </w:r>
      <w:proofErr w:type="spellEnd"/>
    </w:p>
    <w:p w14:paraId="39066BC7" w14:textId="77777777" w:rsidR="002E6E1C" w:rsidRDefault="00000000">
      <w:pPr>
        <w:spacing w:after="240"/>
      </w:pPr>
      <w:r>
        <w:t>Akademska godina: 2026/2027.</w:t>
      </w:r>
    </w:p>
    <w:p w14:paraId="4661891C" w14:textId="77777777" w:rsidR="002E6E1C" w:rsidRDefault="00000000">
      <w:r>
        <w:br/>
      </w:r>
    </w:p>
    <w:p w14:paraId="7313B985" w14:textId="77777777" w:rsidR="002E6E1C" w:rsidRDefault="002E6E1C">
      <w:pPr>
        <w:sectPr w:rsidR="002E6E1C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56C10DCA" w14:textId="77777777" w:rsidR="002E6E1C" w:rsidRDefault="00000000">
      <w:pPr>
        <w:pStyle w:val="Heading1"/>
      </w:pPr>
      <w:r>
        <w:lastRenderedPageBreak/>
        <w:t>1. UVOD</w:t>
      </w:r>
    </w:p>
    <w:p w14:paraId="473ADC91" w14:textId="77777777" w:rsidR="002E6E1C" w:rsidRDefault="00000000">
      <w:r>
        <w:t>Pljuvačka je složena biološka tečnost koja neprekidno dolazi u kontakt sa zubima, sluzokožom i mikroorganizmima usne duplje. Iako je voda njen najzastupljeniji sastojak, fiziološki značaj pljuvačke određuju rastvoreni elektroliti, proteini, glikoproteini, enzimi i druge supstance. Njihovo zajedničko djelovanje omogućava vlaženje i čišćenje oralnih površina, početak varenja i hemijsku zaštitu zubnih tkiva [1].</w:t>
      </w:r>
    </w:p>
    <w:p w14:paraId="382C8CE1" w14:textId="77777777" w:rsidR="002E6E1C" w:rsidRDefault="00000000">
      <w:r>
        <w:t>Sa stanovišta hemije, pljuvačka je promjenljiv višekomponentni vodeni sistem. Njene osobine zavise od koncentracije i aktivnosti jona, strukture organskih molekula, brzine lučenja i interakcija rastvorenih sastojaka sa mineralnom površinom zuba. Posebno su značajni kalcijumovi i fosfatni joni, čija dostupnost utiče na ravnotežu između gubitka i ponovnog ugrađivanja minerala u gleđ [1,2].</w:t>
      </w:r>
    </w:p>
    <w:p w14:paraId="2025644A" w14:textId="77777777" w:rsidR="002E6E1C" w:rsidRDefault="00000000">
      <w:r>
        <w:t>Cilj rada je da se prikažu nastanak, hemijski sastav i fizičko-hemijske osobine pljuvačke i da se objasni na koji način njene komponente učestvuju u održavanju oralne homeostaze. Težište je na pljuvački kao rastvoru i njenim zaštitnim funkcijama u stomatologiji; mehanizmi puferskih sistema nijesu predmet detaljne analize.</w:t>
      </w:r>
    </w:p>
    <w:p w14:paraId="55852879" w14:textId="77777777" w:rsidR="002E6E1C" w:rsidRDefault="00000000">
      <w:pPr>
        <w:pStyle w:val="Heading1"/>
      </w:pPr>
      <w:r>
        <w:t>2. PLJUVAČKA KAO BIOLOŠKI RASTVOR</w:t>
      </w:r>
    </w:p>
    <w:p w14:paraId="706E8FA2" w14:textId="77777777" w:rsidR="002E6E1C" w:rsidRDefault="00000000">
      <w:pPr>
        <w:pStyle w:val="Heading2"/>
      </w:pPr>
      <w:r>
        <w:t>2.1. Nastanak i lučenje pljuvačke</w:t>
      </w:r>
    </w:p>
    <w:p w14:paraId="5C892659" w14:textId="77777777" w:rsidR="002E6E1C" w:rsidRDefault="00000000">
      <w:r>
        <w:t>Pljuvačku stvaraju tri para velikih žlijezda – parotidne, submandibularne i sublingvalne – i brojne male žlijezde oralne sluzokože. Parotidne žlijezde izlučuju pretežno serozni sekret, sublingvalne pretežno mukozni, dok submandibularne proizvode mješoviti sekret. Udio pojedinih žlijezda u ukupnoj pljuvački mijenja se u zavisnosti od stimulacije [1].</w:t>
      </w:r>
    </w:p>
    <w:p w14:paraId="1490FEC6" w14:textId="77777777" w:rsidR="002E6E1C" w:rsidRDefault="00000000">
      <w:r>
        <w:t xml:space="preserve">Primarni sekret nastaje u acinusima i približno je izotoničan u odnosu na krvnu plazmu. Prolaskom kroz izvodne kanale njegov jonski sastav se mijenja: ćelije kanala reapsorbuju Na⁺ i Cl⁻, a u lumen izlučuju K⁺ i HCO₃⁻. Pošto se iz sekreta uklanja više osmotski aktivnih jona nego što se dodaje, </w:t>
      </w:r>
      <w:proofErr w:type="gramStart"/>
      <w:r>
        <w:t>a</w:t>
      </w:r>
      <w:proofErr w:type="gramEnd"/>
      <w:r>
        <w:t xml:space="preserve"> epitel izvodnih kanala je relativno slabo propustljiv za vodu, voda ne prati reapsorbovane jone u odgovarajućoj mjeri. Tako nastaje konačna pljuvačka koja je, naročito pri manjoj brzini lučenja, hipotonična u odnosu na krvnu plazmu [4,5].</w:t>
      </w:r>
    </w:p>
    <w:p w14:paraId="198AAEA0" w14:textId="7E332811" w:rsidR="002E6E1C" w:rsidRDefault="00DC6958">
      <w:pPr>
        <w:jc w:val="center"/>
      </w:pPr>
      <w:r>
        <w:rPr>
          <w:noProof/>
        </w:rPr>
        <w:lastRenderedPageBreak/>
        <w:drawing>
          <wp:inline distT="0" distB="0" distL="0" distR="0" wp14:anchorId="6DDFD1A3" wp14:editId="5428EB82">
            <wp:extent cx="3619500" cy="2255520"/>
            <wp:effectExtent l="0" t="0" r="0" b="0"/>
            <wp:docPr id="1920579328" name="Picture 1" descr="Physiology Glossary: Salivary Gland Physiology | ditki medical &amp; biological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ysiology Glossary: Salivary Gland Physiology | ditki medical &amp; biological scienc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408" cy="228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053D1" w14:textId="77777777" w:rsidR="00DC6958" w:rsidRPr="00DC6958" w:rsidRDefault="00DC6958" w:rsidP="00DC6958">
      <w:pPr>
        <w:jc w:val="center"/>
        <w:rPr>
          <w:i/>
          <w:sz w:val="18"/>
        </w:rPr>
      </w:pPr>
      <w:proofErr w:type="spellStart"/>
      <w:r w:rsidRPr="00DC6958">
        <w:rPr>
          <w:b/>
          <w:bCs/>
          <w:i/>
          <w:sz w:val="18"/>
        </w:rPr>
        <w:t>Slika</w:t>
      </w:r>
      <w:proofErr w:type="spellEnd"/>
      <w:r w:rsidRPr="00DC6958">
        <w:rPr>
          <w:b/>
          <w:bCs/>
          <w:i/>
          <w:sz w:val="18"/>
        </w:rPr>
        <w:t xml:space="preserve"> 1.</w:t>
      </w:r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Šematski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prikaz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nastanka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pljuvačke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i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promjena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jonskog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sastava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tokom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prolaska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kroz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izvodne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kanale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pljuvačnih</w:t>
      </w:r>
      <w:proofErr w:type="spellEnd"/>
      <w:r w:rsidRPr="00DC6958">
        <w:rPr>
          <w:i/>
          <w:sz w:val="18"/>
        </w:rPr>
        <w:t xml:space="preserve"> </w:t>
      </w:r>
      <w:proofErr w:type="spellStart"/>
      <w:r w:rsidRPr="00DC6958">
        <w:rPr>
          <w:i/>
          <w:sz w:val="18"/>
        </w:rPr>
        <w:t>žlijezda</w:t>
      </w:r>
      <w:proofErr w:type="spellEnd"/>
      <w:r w:rsidRPr="00DC6958">
        <w:rPr>
          <w:i/>
          <w:sz w:val="18"/>
        </w:rPr>
        <w:t>.</w:t>
      </w:r>
    </w:p>
    <w:p w14:paraId="7859E88B" w14:textId="2B9ED0C4" w:rsidR="002E6E1C" w:rsidRDefault="00000000">
      <w:pPr>
        <w:jc w:val="center"/>
        <w:rPr>
          <w:i/>
          <w:sz w:val="18"/>
        </w:rPr>
      </w:pPr>
      <w:proofErr w:type="gramStart"/>
      <w:r>
        <w:rPr>
          <w:i/>
          <w:sz w:val="18"/>
        </w:rPr>
        <w:t>.</w:t>
      </w:r>
      <w:r w:rsidR="00DC6958">
        <w:rPr>
          <w:i/>
          <w:sz w:val="18"/>
        </w:rPr>
        <w:t>Izvor</w:t>
      </w:r>
      <w:proofErr w:type="gramEnd"/>
      <w:r w:rsidR="00DC6958" w:rsidRPr="00DC6958">
        <w:rPr>
          <w:i/>
          <w:sz w:val="18"/>
        </w:rPr>
        <w:t xml:space="preserve">: </w:t>
      </w:r>
      <w:hyperlink r:id="rId9" w:history="1">
        <w:r w:rsidR="00DC6958" w:rsidRPr="00DC6958">
          <w:rPr>
            <w:rStyle w:val="Hyperlink"/>
            <w:i/>
            <w:color w:val="auto"/>
            <w:sz w:val="18"/>
          </w:rPr>
          <w:t>D</w:t>
        </w:r>
        <w:r w:rsidR="00DC6958">
          <w:rPr>
            <w:rStyle w:val="Hyperlink"/>
            <w:i/>
            <w:color w:val="auto"/>
            <w:sz w:val="18"/>
          </w:rPr>
          <w:t>ITKI</w:t>
        </w:r>
        <w:r w:rsidR="00DC6958" w:rsidRPr="00DC6958">
          <w:rPr>
            <w:rStyle w:val="Hyperlink"/>
            <w:i/>
            <w:color w:val="auto"/>
            <w:sz w:val="18"/>
          </w:rPr>
          <w:t>– Salivary Gland Physiology</w:t>
        </w:r>
      </w:hyperlink>
      <w:r w:rsidR="00DC6958">
        <w:rPr>
          <w:i/>
          <w:sz w:val="18"/>
        </w:rPr>
        <w:t xml:space="preserve"> </w:t>
      </w:r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prema</w:t>
      </w:r>
      <w:proofErr w:type="spellEnd"/>
      <w:r>
        <w:rPr>
          <w:i/>
          <w:sz w:val="18"/>
        </w:rPr>
        <w:t xml:space="preserve"> [4,5].</w:t>
      </w:r>
    </w:p>
    <w:p w14:paraId="7C61701B" w14:textId="1EEE68BB" w:rsidR="00495247" w:rsidRDefault="00495247">
      <w:pPr>
        <w:jc w:val="center"/>
      </w:pPr>
      <w:r>
        <w:rPr>
          <w:noProof/>
        </w:rPr>
        <w:drawing>
          <wp:inline distT="0" distB="0" distL="0" distR="0" wp14:anchorId="22996039" wp14:editId="5508F95E">
            <wp:extent cx="5760720" cy="152400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98D2F93-8327-5A06-710C-E6C01F6EB0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98D2F93-8327-5A06-710C-E6C01F6EB0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3215" w14:textId="30C7B2AC" w:rsidR="00495247" w:rsidRPr="00495247" w:rsidRDefault="00495247" w:rsidP="00495247">
      <w:pPr>
        <w:jc w:val="center"/>
        <w:rPr>
          <w:b/>
          <w:bCs/>
          <w:i/>
          <w:sz w:val="18"/>
        </w:rPr>
      </w:pPr>
      <w:proofErr w:type="spellStart"/>
      <w:r>
        <w:rPr>
          <w:b/>
          <w:bCs/>
          <w:i/>
          <w:sz w:val="18"/>
        </w:rPr>
        <w:t>Slika</w:t>
      </w:r>
      <w:proofErr w:type="spellEnd"/>
      <w:r>
        <w:rPr>
          <w:b/>
          <w:bCs/>
          <w:i/>
          <w:sz w:val="18"/>
        </w:rPr>
        <w:t xml:space="preserve"> 2</w:t>
      </w:r>
      <w:r w:rsidRPr="00495247">
        <w:rPr>
          <w:i/>
          <w:sz w:val="18"/>
        </w:rPr>
        <w:t xml:space="preserve">. </w:t>
      </w:r>
      <w:proofErr w:type="spellStart"/>
      <w:r w:rsidRPr="00495247">
        <w:rPr>
          <w:i/>
          <w:sz w:val="18"/>
        </w:rPr>
        <w:t>Nastanak</w:t>
      </w:r>
      <w:proofErr w:type="spellEnd"/>
      <w:r w:rsidRPr="00495247">
        <w:rPr>
          <w:i/>
          <w:sz w:val="18"/>
        </w:rPr>
        <w:t xml:space="preserve"> </w:t>
      </w:r>
      <w:proofErr w:type="spellStart"/>
      <w:r w:rsidRPr="00495247">
        <w:rPr>
          <w:i/>
          <w:sz w:val="18"/>
        </w:rPr>
        <w:t>hipotonične</w:t>
      </w:r>
      <w:proofErr w:type="spellEnd"/>
      <w:r w:rsidRPr="00495247">
        <w:rPr>
          <w:i/>
          <w:sz w:val="18"/>
        </w:rPr>
        <w:t xml:space="preserve"> </w:t>
      </w:r>
      <w:proofErr w:type="spellStart"/>
      <w:r w:rsidRPr="00495247">
        <w:rPr>
          <w:i/>
          <w:sz w:val="18"/>
        </w:rPr>
        <w:t>pljuvačke</w:t>
      </w:r>
      <w:proofErr w:type="spellEnd"/>
      <w:r>
        <w:rPr>
          <w:b/>
          <w:bCs/>
          <w:i/>
          <w:sz w:val="18"/>
        </w:rPr>
        <w:t xml:space="preserve">, </w:t>
      </w:r>
      <w:proofErr w:type="spellStart"/>
      <w:proofErr w:type="gramStart"/>
      <w:r>
        <w:rPr>
          <w:i/>
          <w:sz w:val="18"/>
        </w:rPr>
        <w:t>Izvor</w:t>
      </w:r>
      <w:r>
        <w:rPr>
          <w:i/>
          <w:sz w:val="18"/>
        </w:rPr>
        <w:t>:autorska</w:t>
      </w:r>
      <w:proofErr w:type="spellEnd"/>
      <w:proofErr w:type="gram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šema</w:t>
      </w:r>
      <w:proofErr w:type="spellEnd"/>
    </w:p>
    <w:p w14:paraId="48BA1B11" w14:textId="7E5038DF" w:rsidR="00DC6958" w:rsidRPr="00DC6958" w:rsidRDefault="00DC6958" w:rsidP="00DC6958">
      <w:pPr>
        <w:rPr>
          <w:sz w:val="20"/>
        </w:rPr>
      </w:pPr>
      <w:proofErr w:type="spellStart"/>
      <w:r w:rsidRPr="00DC6958">
        <w:rPr>
          <w:i/>
          <w:iCs/>
          <w:sz w:val="20"/>
        </w:rPr>
        <w:t>Prikazano</w:t>
      </w:r>
      <w:proofErr w:type="spellEnd"/>
      <w:r w:rsidRPr="00DC6958">
        <w:rPr>
          <w:i/>
          <w:iCs/>
          <w:sz w:val="20"/>
        </w:rPr>
        <w:t xml:space="preserve"> je </w:t>
      </w:r>
      <w:proofErr w:type="spellStart"/>
      <w:r w:rsidRPr="00DC6958">
        <w:rPr>
          <w:i/>
          <w:iCs/>
          <w:sz w:val="20"/>
        </w:rPr>
        <w:t>nastajanje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primarne</w:t>
      </w:r>
      <w:proofErr w:type="spellEnd"/>
      <w:r w:rsidRPr="00DC6958">
        <w:rPr>
          <w:i/>
          <w:iCs/>
          <w:sz w:val="20"/>
        </w:rPr>
        <w:t xml:space="preserve">, </w:t>
      </w:r>
      <w:proofErr w:type="spellStart"/>
      <w:r w:rsidRPr="00DC6958">
        <w:rPr>
          <w:i/>
          <w:iCs/>
          <w:sz w:val="20"/>
        </w:rPr>
        <w:t>približno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izotonične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pljuvačke</w:t>
      </w:r>
      <w:proofErr w:type="spellEnd"/>
      <w:r w:rsidRPr="00DC6958">
        <w:rPr>
          <w:i/>
          <w:iCs/>
          <w:sz w:val="20"/>
        </w:rPr>
        <w:t xml:space="preserve"> u </w:t>
      </w:r>
      <w:proofErr w:type="spellStart"/>
      <w:r w:rsidRPr="00DC6958">
        <w:rPr>
          <w:i/>
          <w:iCs/>
          <w:sz w:val="20"/>
        </w:rPr>
        <w:t>acinusima</w:t>
      </w:r>
      <w:proofErr w:type="spellEnd"/>
      <w:r w:rsidRPr="00DC6958">
        <w:rPr>
          <w:i/>
          <w:iCs/>
          <w:sz w:val="20"/>
        </w:rPr>
        <w:t xml:space="preserve"> i </w:t>
      </w:r>
      <w:proofErr w:type="spellStart"/>
      <w:r w:rsidRPr="00DC6958">
        <w:rPr>
          <w:i/>
          <w:iCs/>
          <w:sz w:val="20"/>
        </w:rPr>
        <w:t>njena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modifikacija</w:t>
      </w:r>
      <w:proofErr w:type="spellEnd"/>
      <w:r w:rsidRPr="00DC6958">
        <w:rPr>
          <w:i/>
          <w:iCs/>
          <w:sz w:val="20"/>
        </w:rPr>
        <w:t xml:space="preserve"> u </w:t>
      </w:r>
      <w:proofErr w:type="spellStart"/>
      <w:r w:rsidRPr="00DC6958">
        <w:rPr>
          <w:i/>
          <w:iCs/>
          <w:sz w:val="20"/>
        </w:rPr>
        <w:t>izvodnim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kanalima</w:t>
      </w:r>
      <w:proofErr w:type="spellEnd"/>
      <w:r w:rsidRPr="00DC6958">
        <w:rPr>
          <w:i/>
          <w:iCs/>
          <w:sz w:val="20"/>
        </w:rPr>
        <w:t xml:space="preserve">. </w:t>
      </w:r>
      <w:proofErr w:type="spellStart"/>
      <w:r w:rsidRPr="00DC6958">
        <w:rPr>
          <w:i/>
          <w:iCs/>
          <w:sz w:val="20"/>
        </w:rPr>
        <w:t>Reapsorpcijom</w:t>
      </w:r>
      <w:proofErr w:type="spellEnd"/>
      <w:r w:rsidRPr="00DC6958">
        <w:rPr>
          <w:i/>
          <w:iCs/>
          <w:sz w:val="20"/>
        </w:rPr>
        <w:t xml:space="preserve"> Na⁺ </w:t>
      </w:r>
      <w:proofErr w:type="spellStart"/>
      <w:r w:rsidRPr="00DC6958">
        <w:rPr>
          <w:i/>
          <w:iCs/>
          <w:sz w:val="20"/>
        </w:rPr>
        <w:t>i</w:t>
      </w:r>
      <w:proofErr w:type="spellEnd"/>
      <w:r w:rsidRPr="00DC6958">
        <w:rPr>
          <w:i/>
          <w:iCs/>
          <w:sz w:val="20"/>
        </w:rPr>
        <w:t xml:space="preserve"> Cl⁻ </w:t>
      </w:r>
      <w:proofErr w:type="spellStart"/>
      <w:r w:rsidRPr="00DC6958">
        <w:rPr>
          <w:i/>
          <w:iCs/>
          <w:sz w:val="20"/>
        </w:rPr>
        <w:t>jona</w:t>
      </w:r>
      <w:proofErr w:type="spellEnd"/>
      <w:r w:rsidRPr="00DC6958">
        <w:rPr>
          <w:i/>
          <w:iCs/>
          <w:sz w:val="20"/>
        </w:rPr>
        <w:t xml:space="preserve">, </w:t>
      </w:r>
      <w:proofErr w:type="spellStart"/>
      <w:r w:rsidRPr="00DC6958">
        <w:rPr>
          <w:i/>
          <w:iCs/>
          <w:sz w:val="20"/>
        </w:rPr>
        <w:t>uz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relativno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malu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propustljivost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kanala</w:t>
      </w:r>
      <w:proofErr w:type="spellEnd"/>
      <w:r w:rsidRPr="00DC6958">
        <w:rPr>
          <w:i/>
          <w:iCs/>
          <w:sz w:val="20"/>
        </w:rPr>
        <w:t xml:space="preserve"> za </w:t>
      </w:r>
      <w:proofErr w:type="spellStart"/>
      <w:r w:rsidRPr="00DC6958">
        <w:rPr>
          <w:i/>
          <w:iCs/>
          <w:sz w:val="20"/>
        </w:rPr>
        <w:t>vodu</w:t>
      </w:r>
      <w:proofErr w:type="spellEnd"/>
      <w:r w:rsidRPr="00DC6958">
        <w:rPr>
          <w:i/>
          <w:iCs/>
          <w:sz w:val="20"/>
        </w:rPr>
        <w:t xml:space="preserve">, </w:t>
      </w:r>
      <w:proofErr w:type="spellStart"/>
      <w:r w:rsidRPr="00DC6958">
        <w:rPr>
          <w:i/>
          <w:iCs/>
          <w:sz w:val="20"/>
        </w:rPr>
        <w:t>nastaje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hipotonična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definitivna</w:t>
      </w:r>
      <w:proofErr w:type="spellEnd"/>
      <w:r w:rsidRPr="00DC6958">
        <w:rPr>
          <w:i/>
          <w:iCs/>
          <w:sz w:val="20"/>
        </w:rPr>
        <w:t xml:space="preserve"> </w:t>
      </w:r>
      <w:proofErr w:type="spellStart"/>
      <w:r w:rsidRPr="00DC6958">
        <w:rPr>
          <w:i/>
          <w:iCs/>
          <w:sz w:val="20"/>
        </w:rPr>
        <w:t>pljuvačka</w:t>
      </w:r>
      <w:proofErr w:type="spellEnd"/>
      <w:r w:rsidRPr="00DC6958">
        <w:rPr>
          <w:sz w:val="20"/>
        </w:rPr>
        <w:t>.</w:t>
      </w:r>
    </w:p>
    <w:p w14:paraId="6925CA51" w14:textId="77777777" w:rsidR="00DC6958" w:rsidRDefault="00DC6958">
      <w:pPr>
        <w:rPr>
          <w:sz w:val="20"/>
        </w:rPr>
      </w:pPr>
    </w:p>
    <w:p w14:paraId="717E3F92" w14:textId="06BBAE99" w:rsidR="002E6E1C" w:rsidRDefault="00000000">
      <w:proofErr w:type="spellStart"/>
      <w:r>
        <w:t>Lučenje</w:t>
      </w:r>
      <w:proofErr w:type="spellEnd"/>
      <w:r>
        <w:t xml:space="preserve"> je pod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autonomnog</w:t>
      </w:r>
      <w:proofErr w:type="spellEnd"/>
      <w:r>
        <w:t xml:space="preserve"> </w:t>
      </w:r>
      <w:proofErr w:type="spellStart"/>
      <w:r>
        <w:t>nervnog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 Mehanička stimulacija tokom žvakanja i nadražaji ukusa povećavaju sekreciju, dok je tokom noći lučenje znatno slabije. Ova promjenljivost je bitna i za uzorkovanje pljuvačke, jer izmjerene koncentracije zavise od uslova prikupljanja [1].</w:t>
      </w:r>
    </w:p>
    <w:p w14:paraId="1359AAFE" w14:textId="77777777" w:rsidR="002E6E1C" w:rsidRDefault="00000000">
      <w:pPr>
        <w:pStyle w:val="Heading2"/>
      </w:pPr>
      <w:r>
        <w:t>2.2. Voda i rastvorene supstance</w:t>
      </w:r>
    </w:p>
    <w:p w14:paraId="72019BED" w14:textId="77777777" w:rsidR="002E6E1C" w:rsidRDefault="00000000">
      <w:r>
        <w:t xml:space="preserve">Voda čini približno 99% pljuvačke i služi kao rastvarač i medijum za prenos jona, molekula hrane i biološki aktivnih supstanci. Osim elektrolita, u pljuvački se nalaze urea, mokraćna kiselina, kreatinin, male količine glukoze, aminokiseline i drugi metaboliti. Proteini i </w:t>
      </w:r>
      <w:r>
        <w:lastRenderedPageBreak/>
        <w:t>glikoproteini potiču najvećim dijelom iz sekretornih ćelija, dok pojedine supstance dospijevaju iz krvne plazme [1].</w:t>
      </w:r>
    </w:p>
    <w:p w14:paraId="42C7C224" w14:textId="77777777" w:rsidR="002E6E1C" w:rsidRDefault="00000000">
      <w:r>
        <w:t>Pljuvačka nije hemijski homogena u svakom trenutku: koncentracija njenih komponenti zavisi od žlijezde, brzine lučenja i fizioloških okolnosti. Zato pri opisivanju njenih svojstava treba razlikovati sastav ukupne pljuvačke od sastava sekreta pojedinačnih žlijezda [1].</w:t>
      </w:r>
    </w:p>
    <w:p w14:paraId="046FC06A" w14:textId="77777777" w:rsidR="002E6E1C" w:rsidRDefault="00000000">
      <w:pPr>
        <w:pStyle w:val="Heading1"/>
      </w:pPr>
      <w:r>
        <w:t>3. HEMIJSKI SASTAV I FIZIČKO-HEMIJSKE OSOBINE</w:t>
      </w:r>
    </w:p>
    <w:p w14:paraId="4E35541C" w14:textId="77777777" w:rsidR="002E6E1C" w:rsidRDefault="00000000">
      <w:pPr>
        <w:pStyle w:val="Heading2"/>
      </w:pPr>
      <w:r>
        <w:t>3.1. Neorganske komponente i jonska ravnoteža</w:t>
      </w:r>
    </w:p>
    <w:p w14:paraId="6EE89973" w14:textId="77777777" w:rsidR="002E6E1C" w:rsidRDefault="00000000">
      <w:r>
        <w:t>Glavni elektroliti pljuvačke uključuju Na⁺, K⁺, Cl⁻, Ca²⁺ i fosfatne vrste. Natrijum, kalijum i hloridi doprinose ukupnom jonskom sastavu i osmotskim svojstvima, dok su kalcijum i fosfati posebno važni za odnos rastvora i mineralne površine zuba. Prisustvo fluoridnih jona u malim koncentracijama dodatno pogoduje otpornosti gleđi prema kiselinskom rastvaranju [1,2].</w:t>
      </w:r>
    </w:p>
    <w:p w14:paraId="6C53C477" w14:textId="77777777" w:rsidR="002E6E1C" w:rsidRDefault="00000000">
      <w:r>
        <w:t>Hemijska aktivnost jona nije uvijek jednaka njihovoj ukupnoj koncentraciji, jer na nju utiču jonska jačina i vezivanje za druge sastojke. U pljuvački se dio kalcijuma nalazi u slobodnom jonskom obliku, a dio je povezan sa drugim molekulima. Za proces mineralizacije zato nije važna samo ukupna količina kalcijuma, već i njegova raspoloživost u rastvoru [1,2].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1"/>
        <w:gridCol w:w="3020"/>
        <w:gridCol w:w="3021"/>
      </w:tblGrid>
      <w:tr w:rsidR="002E6E1C" w14:paraId="0A10D3E3" w14:textId="77777777">
        <w:trPr>
          <w:jc w:val="center"/>
        </w:trPr>
        <w:tc>
          <w:tcPr>
            <w:tcW w:w="3024" w:type="dxa"/>
          </w:tcPr>
          <w:p w14:paraId="64A4F473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Komponenta</w:t>
            </w:r>
          </w:p>
        </w:tc>
        <w:tc>
          <w:tcPr>
            <w:tcW w:w="3024" w:type="dxa"/>
          </w:tcPr>
          <w:p w14:paraId="2742DD49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Hemijski oblik / primjer</w:t>
            </w:r>
          </w:p>
        </w:tc>
        <w:tc>
          <w:tcPr>
            <w:tcW w:w="3024" w:type="dxa"/>
          </w:tcPr>
          <w:p w14:paraId="4B2FF683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Značaj</w:t>
            </w:r>
          </w:p>
        </w:tc>
      </w:tr>
      <w:tr w:rsidR="002E6E1C" w14:paraId="69D2D232" w14:textId="77777777">
        <w:trPr>
          <w:jc w:val="center"/>
        </w:trPr>
        <w:tc>
          <w:tcPr>
            <w:tcW w:w="3024" w:type="dxa"/>
          </w:tcPr>
          <w:p w14:paraId="429D6C34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Voda</w:t>
            </w:r>
          </w:p>
        </w:tc>
        <w:tc>
          <w:tcPr>
            <w:tcW w:w="3024" w:type="dxa"/>
          </w:tcPr>
          <w:p w14:paraId="2C4CDE55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H₂O</w:t>
            </w:r>
          </w:p>
        </w:tc>
        <w:tc>
          <w:tcPr>
            <w:tcW w:w="3024" w:type="dxa"/>
          </w:tcPr>
          <w:p w14:paraId="1BFA3BBF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Rastvarač i transport</w:t>
            </w:r>
          </w:p>
        </w:tc>
      </w:tr>
      <w:tr w:rsidR="002E6E1C" w14:paraId="587BE590" w14:textId="77777777">
        <w:trPr>
          <w:jc w:val="center"/>
        </w:trPr>
        <w:tc>
          <w:tcPr>
            <w:tcW w:w="3024" w:type="dxa"/>
          </w:tcPr>
          <w:p w14:paraId="57D6B0C3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Elektroliti</w:t>
            </w:r>
          </w:p>
        </w:tc>
        <w:tc>
          <w:tcPr>
            <w:tcW w:w="3024" w:type="dxa"/>
          </w:tcPr>
          <w:p w14:paraId="6248188E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Na⁺, K⁺, Cl⁻</w:t>
            </w:r>
          </w:p>
        </w:tc>
        <w:tc>
          <w:tcPr>
            <w:tcW w:w="3024" w:type="dxa"/>
          </w:tcPr>
          <w:p w14:paraId="02E2F920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Jonska i osmotska svojstva</w:t>
            </w:r>
          </w:p>
        </w:tc>
      </w:tr>
      <w:tr w:rsidR="002E6E1C" w14:paraId="758AD4C5" w14:textId="77777777">
        <w:trPr>
          <w:jc w:val="center"/>
        </w:trPr>
        <w:tc>
          <w:tcPr>
            <w:tcW w:w="3024" w:type="dxa"/>
          </w:tcPr>
          <w:p w14:paraId="2422B436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Mineralni joni</w:t>
            </w:r>
          </w:p>
        </w:tc>
        <w:tc>
          <w:tcPr>
            <w:tcW w:w="3024" w:type="dxa"/>
          </w:tcPr>
          <w:p w14:paraId="62683F80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Ca²⁺, fosfati, F⁻</w:t>
            </w:r>
          </w:p>
        </w:tc>
        <w:tc>
          <w:tcPr>
            <w:tcW w:w="3024" w:type="dxa"/>
          </w:tcPr>
          <w:p w14:paraId="54590111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Zaštita mineralne faze gleđi</w:t>
            </w:r>
          </w:p>
        </w:tc>
      </w:tr>
      <w:tr w:rsidR="002E6E1C" w14:paraId="3EC1ED4E" w14:textId="77777777">
        <w:trPr>
          <w:jc w:val="center"/>
        </w:trPr>
        <w:tc>
          <w:tcPr>
            <w:tcW w:w="3024" w:type="dxa"/>
          </w:tcPr>
          <w:p w14:paraId="6A118379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Glikoproteini</w:t>
            </w:r>
          </w:p>
        </w:tc>
        <w:tc>
          <w:tcPr>
            <w:tcW w:w="3024" w:type="dxa"/>
          </w:tcPr>
          <w:p w14:paraId="3CEDA72D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Mucini</w:t>
            </w:r>
          </w:p>
        </w:tc>
        <w:tc>
          <w:tcPr>
            <w:tcW w:w="3024" w:type="dxa"/>
          </w:tcPr>
          <w:p w14:paraId="04334A9C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Vlaženje i podmazivanje</w:t>
            </w:r>
          </w:p>
        </w:tc>
      </w:tr>
      <w:tr w:rsidR="002E6E1C" w14:paraId="4054482E" w14:textId="77777777">
        <w:trPr>
          <w:jc w:val="center"/>
        </w:trPr>
        <w:tc>
          <w:tcPr>
            <w:tcW w:w="3024" w:type="dxa"/>
          </w:tcPr>
          <w:p w14:paraId="30B9B0BD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Proteini</w:t>
            </w:r>
          </w:p>
        </w:tc>
        <w:tc>
          <w:tcPr>
            <w:tcW w:w="3024" w:type="dxa"/>
          </w:tcPr>
          <w:p w14:paraId="5EBE0F9C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Staterin, PRP</w:t>
            </w:r>
          </w:p>
        </w:tc>
        <w:tc>
          <w:tcPr>
            <w:tcW w:w="3024" w:type="dxa"/>
          </w:tcPr>
          <w:p w14:paraId="3C69C26B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Interakcija sa hidroksiapatitom</w:t>
            </w:r>
          </w:p>
        </w:tc>
      </w:tr>
      <w:tr w:rsidR="002E6E1C" w14:paraId="001D960E" w14:textId="77777777">
        <w:trPr>
          <w:jc w:val="center"/>
        </w:trPr>
        <w:tc>
          <w:tcPr>
            <w:tcW w:w="3024" w:type="dxa"/>
          </w:tcPr>
          <w:p w14:paraId="7C61E739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Enzimi</w:t>
            </w:r>
          </w:p>
        </w:tc>
        <w:tc>
          <w:tcPr>
            <w:tcW w:w="3024" w:type="dxa"/>
          </w:tcPr>
          <w:p w14:paraId="52F05FBB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α-amilaza</w:t>
            </w:r>
          </w:p>
        </w:tc>
        <w:tc>
          <w:tcPr>
            <w:tcW w:w="3024" w:type="dxa"/>
          </w:tcPr>
          <w:p w14:paraId="6A9563AB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Hidroliza skroba</w:t>
            </w:r>
          </w:p>
        </w:tc>
      </w:tr>
      <w:tr w:rsidR="002E6E1C" w14:paraId="0DB87C6C" w14:textId="77777777">
        <w:trPr>
          <w:jc w:val="center"/>
        </w:trPr>
        <w:tc>
          <w:tcPr>
            <w:tcW w:w="3024" w:type="dxa"/>
          </w:tcPr>
          <w:p w14:paraId="0A123F07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Odbrambeni faktori</w:t>
            </w:r>
          </w:p>
        </w:tc>
        <w:tc>
          <w:tcPr>
            <w:tcW w:w="3024" w:type="dxa"/>
          </w:tcPr>
          <w:p w14:paraId="79089BE6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Lizozim, laktoferin, sIgA</w:t>
            </w:r>
          </w:p>
        </w:tc>
        <w:tc>
          <w:tcPr>
            <w:tcW w:w="3024" w:type="dxa"/>
          </w:tcPr>
          <w:p w14:paraId="5A51C326" w14:textId="77777777" w:rsidR="002E6E1C" w:rsidRDefault="00000000">
            <w:pPr>
              <w:spacing w:after="0" w:line="240" w:lineRule="auto"/>
            </w:pPr>
            <w:r>
              <w:rPr>
                <w:sz w:val="20"/>
              </w:rPr>
              <w:t>Kontrola mikroorganizama</w:t>
            </w:r>
          </w:p>
        </w:tc>
      </w:tr>
    </w:tbl>
    <w:p w14:paraId="7989F91F" w14:textId="77777777" w:rsidR="002E6E1C" w:rsidRDefault="00000000">
      <w:r>
        <w:t>Tabela 1. Glavne komponente pljuvačke i njihove funkcije. Prilagođeno prema [1–3].</w:t>
      </w:r>
    </w:p>
    <w:p w14:paraId="3D271BD0" w14:textId="77777777" w:rsidR="002E6E1C" w:rsidRDefault="00000000">
      <w:pPr>
        <w:pStyle w:val="Heading2"/>
      </w:pPr>
      <w:r>
        <w:t>3.2. Organske komponente: proteini i enzimi</w:t>
      </w:r>
    </w:p>
    <w:p w14:paraId="2062D6A7" w14:textId="77777777" w:rsidR="002E6E1C" w:rsidRDefault="00000000">
      <w:r>
        <w:t>Mucini su glikoproteini čiji ugljenohidratni lanci vezuju vodu i omogućavaju stvaranje viskoelastičnog sloja na sluzokoži. U pljuvački su značajni MUC5B i MUC7. Zahvaljujući molekulskoj građi, mucini smanjuju trenje, olakšavaju gutanje i mogu doprinositi grupisanju mikroorganizama radi njihovog uklanjanja [1].</w:t>
      </w:r>
    </w:p>
    <w:p w14:paraId="0AD18137" w14:textId="7D8F5864" w:rsidR="002E6E1C" w:rsidRDefault="00DC6958">
      <w:pPr>
        <w:jc w:val="center"/>
      </w:pPr>
      <w:r>
        <w:rPr>
          <w:noProof/>
        </w:rPr>
        <w:lastRenderedPageBreak/>
        <w:drawing>
          <wp:inline distT="0" distB="0" distL="0" distR="0" wp14:anchorId="7F3EFF64" wp14:editId="5C5058A2">
            <wp:extent cx="3284220" cy="2385060"/>
            <wp:effectExtent l="0" t="0" r="0" b="0"/>
            <wp:docPr id="1" name="Picture 1" descr="Frontiers | Mucoadhesive polymers in substance-based medical devices: functional ingredients or what else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ontiers | Mucoadhesive polymers in substance-based medical devices: functional ingredients or what else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586" cy="240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8593" w14:textId="77777777" w:rsidR="00DC6958" w:rsidRDefault="00DC6958" w:rsidP="00DC6958">
      <w:pPr>
        <w:rPr>
          <w:sz w:val="20"/>
        </w:rPr>
      </w:pPr>
      <w:proofErr w:type="spellStart"/>
      <w:r w:rsidRPr="00DC6958">
        <w:rPr>
          <w:b/>
          <w:bCs/>
          <w:sz w:val="20"/>
        </w:rPr>
        <w:t>Slika</w:t>
      </w:r>
      <w:proofErr w:type="spellEnd"/>
      <w:r w:rsidRPr="00DC6958">
        <w:rPr>
          <w:b/>
          <w:bCs/>
          <w:sz w:val="20"/>
        </w:rPr>
        <w:t xml:space="preserve"> 2.</w:t>
      </w:r>
      <w:r w:rsidRPr="00DC6958">
        <w:rPr>
          <w:sz w:val="20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Pojednostavljena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hemijska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struktura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mucina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sa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proteinskim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lancem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i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bočnim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oligosaharidnim</w:t>
      </w:r>
      <w:proofErr w:type="spellEnd"/>
      <w:r w:rsidRPr="00DC6958">
        <w:rPr>
          <w:i/>
          <w:iCs/>
          <w:sz w:val="20"/>
          <w:u w:val="single"/>
        </w:rPr>
        <w:t xml:space="preserve"> </w:t>
      </w:r>
      <w:proofErr w:type="spellStart"/>
      <w:r w:rsidRPr="00DC6958">
        <w:rPr>
          <w:i/>
          <w:iCs/>
          <w:sz w:val="20"/>
          <w:u w:val="single"/>
        </w:rPr>
        <w:t>grupama</w:t>
      </w:r>
      <w:proofErr w:type="spellEnd"/>
      <w:r w:rsidRPr="00DC6958">
        <w:rPr>
          <w:sz w:val="20"/>
        </w:rPr>
        <w:t>.</w:t>
      </w:r>
    </w:p>
    <w:p w14:paraId="427A229E" w14:textId="77777777" w:rsidR="00DC6958" w:rsidRPr="00DC6958" w:rsidRDefault="00DC6958" w:rsidP="00DC6958">
      <w:pPr>
        <w:rPr>
          <w:sz w:val="20"/>
        </w:rPr>
      </w:pPr>
      <w:r w:rsidRPr="00DC6958">
        <w:rPr>
          <w:b/>
          <w:bCs/>
          <w:sz w:val="20"/>
        </w:rPr>
        <w:t>Izvor:</w:t>
      </w:r>
      <w:r w:rsidRPr="00DC6958">
        <w:rPr>
          <w:sz w:val="20"/>
        </w:rPr>
        <w:t xml:space="preserve"> </w:t>
      </w:r>
      <w:r w:rsidRPr="00DC6958">
        <w:rPr>
          <w:i/>
          <w:iCs/>
          <w:sz w:val="20"/>
        </w:rPr>
        <w:t>Mucoadhesive polymers in substance-based medical devices: functional ingredients or what else?</w:t>
      </w:r>
      <w:r w:rsidRPr="00DC6958">
        <w:rPr>
          <w:sz w:val="20"/>
        </w:rPr>
        <w:t xml:space="preserve"> Frontiers in Drug Safety and Regulation, 2023, </w:t>
      </w:r>
      <w:proofErr w:type="spellStart"/>
      <w:r w:rsidRPr="00DC6958">
        <w:rPr>
          <w:sz w:val="20"/>
        </w:rPr>
        <w:t>slika</w:t>
      </w:r>
      <w:proofErr w:type="spellEnd"/>
      <w:r w:rsidRPr="00DC6958">
        <w:rPr>
          <w:sz w:val="20"/>
        </w:rPr>
        <w:t xml:space="preserve"> 1.</w:t>
      </w:r>
    </w:p>
    <w:p w14:paraId="1BF5114C" w14:textId="77777777" w:rsidR="00DC6958" w:rsidRPr="00DC6958" w:rsidRDefault="00DC6958" w:rsidP="00DC6958">
      <w:pPr>
        <w:rPr>
          <w:sz w:val="20"/>
        </w:rPr>
      </w:pPr>
    </w:p>
    <w:p w14:paraId="75E23FB1" w14:textId="77777777" w:rsidR="002E6E1C" w:rsidRDefault="00000000">
      <w:proofErr w:type="spellStart"/>
      <w:r>
        <w:rPr>
          <w:sz w:val="20"/>
        </w:rPr>
        <w:t>Ugljenohidratni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ogranci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mucina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ostvaruju</w:t>
      </w:r>
      <w:proofErr w:type="spellEnd"/>
      <w:r>
        <w:rPr>
          <w:sz w:val="20"/>
        </w:rPr>
        <w:t xml:space="preserve"> interakcije sa vodom i doprinose viskoelastičnim svojstvima pljuvačke.</w:t>
      </w:r>
    </w:p>
    <w:p w14:paraId="03B264DD" w14:textId="77777777" w:rsidR="002E6E1C" w:rsidRDefault="00000000">
      <w:r>
        <w:t>Prolinom bogati proteini (PRP) obuhvataju više grupa proteina, uključujući kisele i bazne oblike. Zbog afiniteta za mineralne površine pojedini od njih učestvuju u formiranju stečene pelikule na zubu. Staterin je mali fosfoprotein koji se vezuje za hidroksiapatit i pomaže održavanju kalcijum-fosfatne ravnoteže, ograničavajući nekontrolisano taloženje mineralnih soli iz pljuvačke [1,2].</w:t>
      </w:r>
    </w:p>
    <w:p w14:paraId="6DD413A0" w14:textId="77777777" w:rsidR="002E6E1C" w:rsidRDefault="00000000">
      <w:r>
        <w:t>Salivarna α-amilaza je hidrolaza koja katalizuje cijepanje unutrašnjih α-1,4-glikozidnih veza u skrobu. Nastaju manji ugljenohidratni fragmenti, poput maltoze i maltotrioze, pa varenje ugljenih hidrata započinje već u ustima. Enzim pokazuje kako molekulska specifičnost i kataliza ostvaruju neposrednu fiziološku funkciju pljuvačke [1].</w:t>
      </w:r>
    </w:p>
    <w:p w14:paraId="7C01DACE" w14:textId="77777777" w:rsidR="002E6E1C" w:rsidRDefault="00000000">
      <w:r>
        <w:t>U zaštitne komponente ubrajaju se lizozim, laktoferin, histatini, defenzini, katelicidini, peroksidazni sistem i sekretorni imunoglobulin A. Njihovi mehanizmi nijesu isti: neki narušavaju bakterijske strukture, drugi ograničavaju dostupnost hranljivih faktora, a treći smanjuju prianjanje mikroorganizama za sluzokožu [1,3].</w:t>
      </w:r>
    </w:p>
    <w:p w14:paraId="6E341070" w14:textId="77777777" w:rsidR="002E6E1C" w:rsidRDefault="00000000">
      <w:pPr>
        <w:pStyle w:val="Heading2"/>
      </w:pPr>
      <w:r>
        <w:t>3.3. pH, viskoznost i osmolalnost</w:t>
      </w:r>
    </w:p>
    <w:p w14:paraId="5E677F6A" w14:textId="77777777" w:rsidR="002E6E1C" w:rsidRDefault="00000000">
      <w:r>
        <w:t xml:space="preserve">pH rastvora definiše se negativnim dekadnim logaritmom aktivnosti vodoničnih jona: pH = −log₁₀ a(H⁺). pH ukupne pljuvačke je promjenljiv, najčešće približno 6,2–7,6, zavisno od brzine lučenja, vremena uzorkovanja i stimulacije. U mirovanju se ukupna pljuvačka obično luči </w:t>
      </w:r>
      <w:r>
        <w:lastRenderedPageBreak/>
        <w:t>brzinom od približno 0,3–0,4 mL/min, a tokom stimulacije žvakanjem ili ukusom prosječna brzina raste na približno 1,5–2,0 mL/min. Ove vrijednosti su orijentacione i razlikuju se među osobama. Pri većem lučenju pH obično raste. Promjene pH mijenjaju uslove rastvaranja i taloženja mineralnih materija na površini zuba [4].</w:t>
      </w:r>
    </w:p>
    <w:p w14:paraId="438FE08C" w14:textId="77777777" w:rsidR="002E6E1C" w:rsidRDefault="00000000">
      <w:r>
        <w:t>Viskoznost pljuvačke povezana je sa koncentracijom i molekulskom strukturom mucina, koji zahvaljujući brojnim hidrofilnim ugljenohidratnim grupama vezuju vodu i stvaraju viskoelastičnu mrežu. Osmolalnost zavisi od broja osmotski aktivnih čestica, naročito elektrolita. Kako se u izvodnim kanalima reapsorbuju Na⁺ i Cl⁻ uz malu propustljivost za vodu, završni sekret ima manju osmolalnost od plazme. Pri brzom lučenju sekret kraće boravi u kanalima, pa je promjena jonskog sastava obično manja [4,5].</w:t>
      </w:r>
    </w:p>
    <w:p w14:paraId="01A628F0" w14:textId="77777777" w:rsidR="002E6E1C" w:rsidRDefault="00000000">
      <w:pPr>
        <w:pStyle w:val="Heading1"/>
      </w:pPr>
      <w:r>
        <w:t>4. ULOGA PLJUVAČKE U ORALNOJ HOMEOSTAZI</w:t>
      </w:r>
    </w:p>
    <w:p w14:paraId="5E7D3D00" w14:textId="77777777" w:rsidR="002E6E1C" w:rsidRDefault="00000000">
      <w:pPr>
        <w:pStyle w:val="Heading2"/>
      </w:pPr>
      <w:r>
        <w:t>4.1. Mineralna ravnoteža zuba</w:t>
      </w:r>
    </w:p>
    <w:p w14:paraId="059A2396" w14:textId="77777777" w:rsidR="002E6E1C" w:rsidRDefault="00000000">
      <w:r>
        <w:t>Glavni mineral gleđi predstavlja biološki apatit, čiji se idealizovani sastav prikazuje formulom hidroksiapatita Ca₁₀(PO</w:t>
      </w:r>
      <w:proofErr w:type="gramStart"/>
      <w:r>
        <w:t>₄)₆</w:t>
      </w:r>
      <w:proofErr w:type="gramEnd"/>
      <w:r>
        <w:t>(OH)₂. U kiseloj sredini povećava se sklonost mineralne faze rastvaranju i oslobađanju kalcijumovih i fosfatnih vrsta. Kada su hemijski uslovi povoljniji, joni iz pljuvačke mogu doprinositi ponovnom ugrađivanju minerala u djelimično oštećenu površinu [2].</w:t>
      </w:r>
    </w:p>
    <w:p w14:paraId="0553F6BB" w14:textId="77777777" w:rsidR="002E6E1C" w:rsidRDefault="00000000">
      <w:r>
        <w:t>Demineralizacija i remineralizacija nijesu zasebni jednokratni događaji, već suprotni procesi čiji odnos zavisi od pH, aktivnosti jona, oralnog biofilma i učestalosti izlaganja šećerima i kiselinama. Fluoridi doprinose remineralizaciji i smanjenju rastvorljivosti mineralne faze, ali ne zamjenjuju ulogu kalcijuma i fosfata kao osnovnih mineralnih sastojaka [2].</w:t>
      </w:r>
    </w:p>
    <w:p w14:paraId="012D111F" w14:textId="77777777" w:rsidR="002E6E1C" w:rsidRDefault="00000000">
      <w:pPr>
        <w:pStyle w:val="Heading2"/>
      </w:pPr>
      <w:r>
        <w:t>4.2. Stečena pelikula i zaštita površine zuba</w:t>
      </w:r>
    </w:p>
    <w:p w14:paraId="38F673AE" w14:textId="77777777" w:rsidR="002E6E1C" w:rsidRDefault="00000000">
      <w:r>
        <w:t>Stečena pelikula je tanak organski sloj koji nastaje adsorpcijom pljuvačnih proteina i glikoproteina na mineralnu površinu. U njenom stvaranju učestvuju staterin, prolinom bogati proteini i drugi molekuli sa sposobnošću vezivanja za hidroksiapatit. Pelikula umanjuje direktan kontakt gleđi sa spoljašnjim uticajima, ali istovremeno može poslužiti kao podloga za početno vezivanje mikroorganizama i nastanak dentalnog biofilma [1,2].</w:t>
      </w:r>
    </w:p>
    <w:p w14:paraId="61C0B480" w14:textId="019482AD" w:rsidR="002E6E1C" w:rsidRDefault="00C124EC">
      <w:pPr>
        <w:jc w:val="center"/>
      </w:pPr>
      <w:r>
        <w:rPr>
          <w:noProof/>
        </w:rPr>
        <w:lastRenderedPageBreak/>
        <w:drawing>
          <wp:inline distT="0" distB="0" distL="0" distR="0" wp14:anchorId="17E785A0" wp14:editId="6B6BD2CE">
            <wp:extent cx="2590800" cy="1931677"/>
            <wp:effectExtent l="0" t="0" r="0" b="0"/>
            <wp:docPr id="1706815656" name="Picture 2" descr="Checking your browser - reCAPT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ecking your browser - reCAPTCH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90" cy="194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9EDDC" w14:textId="61425169" w:rsidR="00C124EC" w:rsidRPr="00C124EC" w:rsidRDefault="00000000" w:rsidP="00C124EC">
      <w:pPr>
        <w:jc w:val="center"/>
        <w:rPr>
          <w:i/>
          <w:sz w:val="18"/>
        </w:rPr>
      </w:pPr>
      <w:r>
        <w:rPr>
          <w:i/>
          <w:sz w:val="18"/>
        </w:rPr>
        <w:t>3.</w:t>
      </w:r>
      <w:r w:rsidR="00C124EC" w:rsidRPr="00C124EC">
        <w:rPr>
          <w:b/>
          <w:bCs/>
          <w:i/>
          <w:sz w:val="18"/>
        </w:rPr>
        <w:t>Slika 3.</w:t>
      </w:r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Šematski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prikaz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kristalnih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površina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hidroksiapatita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i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mjesta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značajnih</w:t>
      </w:r>
      <w:proofErr w:type="spellEnd"/>
      <w:r w:rsidR="00C124EC" w:rsidRPr="00C124EC">
        <w:rPr>
          <w:i/>
          <w:sz w:val="18"/>
        </w:rPr>
        <w:t xml:space="preserve"> za </w:t>
      </w:r>
      <w:proofErr w:type="spellStart"/>
      <w:r w:rsidR="00C124EC" w:rsidRPr="00C124EC">
        <w:rPr>
          <w:i/>
          <w:sz w:val="18"/>
        </w:rPr>
        <w:t>vezivanje</w:t>
      </w:r>
      <w:proofErr w:type="spellEnd"/>
      <w:r w:rsidR="00C124EC" w:rsidRPr="00C124EC">
        <w:rPr>
          <w:i/>
          <w:sz w:val="18"/>
        </w:rPr>
        <w:t xml:space="preserve"> </w:t>
      </w:r>
      <w:proofErr w:type="spellStart"/>
      <w:r w:rsidR="00C124EC" w:rsidRPr="00C124EC">
        <w:rPr>
          <w:i/>
          <w:sz w:val="18"/>
        </w:rPr>
        <w:t>staterina</w:t>
      </w:r>
      <w:proofErr w:type="spellEnd"/>
      <w:r w:rsidR="00C124EC" w:rsidRPr="00C124EC">
        <w:rPr>
          <w:i/>
          <w:sz w:val="18"/>
        </w:rPr>
        <w:t>.</w:t>
      </w:r>
    </w:p>
    <w:p w14:paraId="4AE7C967" w14:textId="77777777" w:rsidR="00C124EC" w:rsidRDefault="00C124EC" w:rsidP="00C124EC">
      <w:pPr>
        <w:jc w:val="center"/>
        <w:rPr>
          <w:i/>
          <w:sz w:val="18"/>
        </w:rPr>
      </w:pPr>
      <w:r w:rsidRPr="00C124EC">
        <w:rPr>
          <w:b/>
          <w:bCs/>
          <w:i/>
          <w:sz w:val="18"/>
        </w:rPr>
        <w:t>Izvor:</w:t>
      </w:r>
      <w:r w:rsidRPr="00C124EC">
        <w:rPr>
          <w:i/>
          <w:sz w:val="18"/>
        </w:rPr>
        <w:t xml:space="preserve"> Masica DL, Gray JJ. </w:t>
      </w:r>
      <w:r w:rsidRPr="00C124EC">
        <w:rPr>
          <w:i/>
          <w:iCs/>
          <w:sz w:val="18"/>
        </w:rPr>
        <w:t>Biophysical Journal</w:t>
      </w:r>
      <w:r w:rsidRPr="00C124EC">
        <w:rPr>
          <w:i/>
          <w:sz w:val="18"/>
        </w:rPr>
        <w:t>. 2009;96(8):3082–3091</w:t>
      </w:r>
    </w:p>
    <w:p w14:paraId="26E5FE8D" w14:textId="5407D0F2" w:rsidR="00C124EC" w:rsidRPr="00C124EC" w:rsidRDefault="00C124EC" w:rsidP="00C124EC">
      <w:pPr>
        <w:jc w:val="center"/>
        <w:rPr>
          <w:rFonts w:cs="Times New Roman"/>
          <w:i/>
          <w:szCs w:val="24"/>
        </w:rPr>
      </w:pPr>
      <w:proofErr w:type="spellStart"/>
      <w:r w:rsidRPr="00C124EC">
        <w:rPr>
          <w:rFonts w:eastAsiaTheme="majorEastAsia" w:cs="Times New Roman"/>
          <w:szCs w:val="24"/>
        </w:rPr>
        <w:t>Slika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prikazuje</w:t>
      </w:r>
      <w:proofErr w:type="spellEnd"/>
      <w:r w:rsidRPr="00C124EC">
        <w:rPr>
          <w:rFonts w:eastAsiaTheme="majorEastAsia" w:cs="Times New Roman"/>
          <w:szCs w:val="24"/>
        </w:rPr>
        <w:t xml:space="preserve"> tri </w:t>
      </w:r>
      <w:proofErr w:type="spellStart"/>
      <w:r w:rsidRPr="00C124EC">
        <w:rPr>
          <w:rFonts w:eastAsiaTheme="majorEastAsia" w:cs="Times New Roman"/>
          <w:szCs w:val="24"/>
        </w:rPr>
        <w:t>kristalografske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površine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hidroksiapatita</w:t>
      </w:r>
      <w:proofErr w:type="spellEnd"/>
      <w:r w:rsidRPr="00C124EC">
        <w:rPr>
          <w:rFonts w:eastAsiaTheme="majorEastAsia" w:cs="Times New Roman"/>
          <w:szCs w:val="24"/>
        </w:rPr>
        <w:t xml:space="preserve"> (001), (010) </w:t>
      </w:r>
      <w:proofErr w:type="spellStart"/>
      <w:r w:rsidRPr="00C124EC">
        <w:rPr>
          <w:rFonts w:eastAsiaTheme="majorEastAsia" w:cs="Times New Roman"/>
          <w:szCs w:val="24"/>
        </w:rPr>
        <w:t>i</w:t>
      </w:r>
      <w:proofErr w:type="spellEnd"/>
      <w:r w:rsidRPr="00C124EC">
        <w:rPr>
          <w:rFonts w:eastAsiaTheme="majorEastAsia" w:cs="Times New Roman"/>
          <w:szCs w:val="24"/>
        </w:rPr>
        <w:t xml:space="preserve"> (100), </w:t>
      </w:r>
      <w:proofErr w:type="spellStart"/>
      <w:r w:rsidRPr="00C124EC">
        <w:rPr>
          <w:rFonts w:eastAsiaTheme="majorEastAsia" w:cs="Times New Roman"/>
          <w:szCs w:val="24"/>
        </w:rPr>
        <w:t>sa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rasporedom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jona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značajnih</w:t>
      </w:r>
      <w:proofErr w:type="spellEnd"/>
      <w:r w:rsidRPr="00C124EC">
        <w:rPr>
          <w:rFonts w:eastAsiaTheme="majorEastAsia" w:cs="Times New Roman"/>
          <w:szCs w:val="24"/>
        </w:rPr>
        <w:t xml:space="preserve"> za </w:t>
      </w:r>
      <w:proofErr w:type="spellStart"/>
      <w:r w:rsidRPr="00C124EC">
        <w:rPr>
          <w:rFonts w:eastAsiaTheme="majorEastAsia" w:cs="Times New Roman"/>
          <w:szCs w:val="24"/>
        </w:rPr>
        <w:t>vezivanje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staterina</w:t>
      </w:r>
      <w:proofErr w:type="spellEnd"/>
      <w:r w:rsidRPr="00C124EC">
        <w:rPr>
          <w:rFonts w:eastAsiaTheme="majorEastAsia" w:cs="Times New Roman"/>
          <w:szCs w:val="24"/>
        </w:rPr>
        <w:t xml:space="preserve">. </w:t>
      </w:r>
      <w:proofErr w:type="spellStart"/>
      <w:r w:rsidRPr="00C124EC">
        <w:rPr>
          <w:rFonts w:eastAsiaTheme="majorEastAsia" w:cs="Times New Roman"/>
          <w:szCs w:val="24"/>
        </w:rPr>
        <w:t>Interakcije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između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naelektrisanih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grupa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proteina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i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mineralne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površine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doprinose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stvaranju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zaštitne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dentalne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pelikule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i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održavanju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mineralne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ravnoteže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zubne</w:t>
      </w:r>
      <w:proofErr w:type="spellEnd"/>
      <w:r w:rsidRPr="00C124EC">
        <w:rPr>
          <w:rFonts w:eastAsiaTheme="majorEastAsia" w:cs="Times New Roman"/>
          <w:szCs w:val="24"/>
        </w:rPr>
        <w:t xml:space="preserve"> </w:t>
      </w:r>
      <w:proofErr w:type="spellStart"/>
      <w:r w:rsidRPr="00C124EC">
        <w:rPr>
          <w:rFonts w:eastAsiaTheme="majorEastAsia" w:cs="Times New Roman"/>
          <w:szCs w:val="24"/>
        </w:rPr>
        <w:t>gleđi</w:t>
      </w:r>
      <w:proofErr w:type="spellEnd"/>
    </w:p>
    <w:p w14:paraId="4A311258" w14:textId="77777777" w:rsidR="002E6E1C" w:rsidRDefault="00000000">
      <w:pPr>
        <w:pStyle w:val="Heading2"/>
      </w:pPr>
      <w:r>
        <w:t>4.3. Odbrana od mikroorganizama</w:t>
      </w:r>
    </w:p>
    <w:p w14:paraId="5799838C" w14:textId="77777777" w:rsidR="002E6E1C" w:rsidRDefault="00000000">
      <w:r>
        <w:t>Zaštita pljuvačkom počinje mehaničkim ispiranjem oralnih površina, a nastavlja se djelovanjem antimikrobnih sastojaka. Lizozim može hidrolizovati veze u peptidoglikanu bakterijskog zida; laktoferin vezuje gvožđe i smanjuje njegovu dostupnost pojedinim mikroorganizmima. Histatini pokazuju naročito važnu aktivnost prema gljivicama, dok sekretorni IgA otežava vezivanje određenih mikroorganizama za oralne površine [1,3].</w:t>
      </w:r>
    </w:p>
    <w:p w14:paraId="375879F0" w14:textId="77777777" w:rsidR="002E6E1C" w:rsidRDefault="00000000">
      <w:r>
        <w:t>Ovi mehanizmi ne uklanjaju oralnu mikrobiotu u cjelini. Njihova svrha je održavanje uravnoteženog ekosistema u kojem fiziološki prisutni mikroorganizmi ne dovode do prekomjernog oštećenja tkiva. Zbog međusobnog djelovanja više faktora, promjena u količini ili sastavu pljuvačke može poremetiti tu ravnotežu [3].</w:t>
      </w:r>
    </w:p>
    <w:p w14:paraId="584AAB20" w14:textId="77777777" w:rsidR="002E6E1C" w:rsidRDefault="00000000">
      <w:pPr>
        <w:pStyle w:val="Heading2"/>
      </w:pPr>
      <w:r>
        <w:t>4.4. Vlaženje sluzokože, ukus i varenje</w:t>
      </w:r>
    </w:p>
    <w:p w14:paraId="4393DAA5" w14:textId="77777777" w:rsidR="002E6E1C" w:rsidRDefault="00000000">
      <w:r>
        <w:t>Voda i mucini stvaraju sloj koji podmazuje sluzokožu i smanjuje trenje tokom govora, žvakanja i gutanja. Pljuvačka omogućava oblikovanje zalogaja i rastvaranje molekula hrane kako bi dospjeli do receptora ukusa. Alfa-amilaza istovremeno započinje enzimsko razlaganje skroba. Tako pljuvačka povezuje fizičke osobine rastvora, molekulske interakcije i funkcije probavnog sistema [1].</w:t>
      </w:r>
    </w:p>
    <w:p w14:paraId="1A37B4A0" w14:textId="77777777" w:rsidR="002E6E1C" w:rsidRDefault="00000000">
      <w:pPr>
        <w:pStyle w:val="Heading1"/>
      </w:pPr>
      <w:r>
        <w:lastRenderedPageBreak/>
        <w:t>5. PROMJENE PLJUVAČKE I STOMATOLOŠKI ZNAČAJ</w:t>
      </w:r>
    </w:p>
    <w:p w14:paraId="661918F1" w14:textId="77777777" w:rsidR="002E6E1C" w:rsidRDefault="00000000">
      <w:r>
        <w:t>Kserostomija označava subjektivan osjećaj suvih usta, a hiposalivacija objektivno smanjenu brzinu lučenja pljuvačke; ova stanja se mogu, ali ne moraju, poklapati. Kada pljuvačke nema dovoljno, slabije su ispiranje ostataka hrane, podmazivanje sluzokože i dostupnost zaštitnih molekula i mineralnih jona. Posljedice mogu biti otežano gutanje, iritacija sluzokože i povećana podložnost karijesu [1,3].</w:t>
      </w:r>
    </w:p>
    <w:p w14:paraId="6BDEC5F1" w14:textId="77777777" w:rsidR="002E6E1C" w:rsidRDefault="00000000">
      <w:r>
        <w:t>Fizičko-hemijska svojstva pljuvačke imaju značaj za procjenu oralnog zdravlja: smanjena brzina lučenja može oslabiti ispiranje površina, dok promjene pH i koncentracije mineralnih jona mogu uticati na ravnotežu demineralizacije i remineralizacije. Međutim, nijedan pojedinačni parametar nije dovoljan da samostalno objasni rizik od karijesa, jer na njega istovremeno utiču ishrana, biofilm i navike oralne higijene [2,4].</w:t>
      </w:r>
    </w:p>
    <w:p w14:paraId="5C5C9A12" w14:textId="77777777" w:rsidR="002E6E1C" w:rsidRDefault="00000000">
      <w:r>
        <w:t>Takva povezanost ne znači da jedna osobina pljuvačke samostalno izaziva karijes. Oralno zdravlje je rezultat međudjelovanja hemijskih uslova, oralnog biofilma, ishrane, higijene i individualnih faktora. Zato se pri stomatološkoj procjeni podaci o količini i sastavu pljuvačke tumače zajedno sa kliničkim nalazom, navikama pacijenta i drugim okolnostima [2,4].</w:t>
      </w:r>
    </w:p>
    <w:p w14:paraId="678F978D" w14:textId="77777777" w:rsidR="002E6E1C" w:rsidRDefault="00000000">
      <w:r>
        <w:t>Praktični značaj razumijevanja biohemije pljuvačke ogleda se u prepoznavanju posljedica smanjenog lučenja, savjetovanju o oralnoj higijeni i smanjenju čestog unosa šećera, kao i u korišćenju fluorida prema stomatološkoj procjeni. Hemijski sastav pljuvačke pruža osnovu za razumijevanje preventivnih postupaka, ali ne predstavlja jedini pokazatelj rizika od oralnih oboljenja [2,4].</w:t>
      </w:r>
    </w:p>
    <w:p w14:paraId="0AB5F576" w14:textId="77777777" w:rsidR="002E6E1C" w:rsidRDefault="00000000">
      <w:pPr>
        <w:pStyle w:val="Heading1"/>
      </w:pPr>
      <w:r>
        <w:t>6. ZAKLJUČAK</w:t>
      </w:r>
    </w:p>
    <w:p w14:paraId="01965F4D" w14:textId="77777777" w:rsidR="002E6E1C" w:rsidRDefault="00000000">
      <w:r>
        <w:t>Pljuvačka je promjenljiv vodeni rastvor čija zaštitna svojstva proizlaze iz međusobnog djelovanja elektrolita, mineralnih jona, proteina, glikoproteina i enzima. Njene funkcije mogu se razumjeti hemijskim principima: rastvaranjem i transportom materija, jonskom ravnotežom, adsorpcijom na površini hidroksiapatita i enzimskom katalizom.</w:t>
      </w:r>
    </w:p>
    <w:p w14:paraId="00D2BFA1" w14:textId="77777777" w:rsidR="002E6E1C" w:rsidRDefault="00000000">
      <w:r>
        <w:t xml:space="preserve">Kalcijum i fosfatne vrste učestvuju u održavanju mineralne ravnoteže gleđi; mucini obezbjeđuju podmazivanje; staterin i drugi proteini doprinose stvaranju pelikule, </w:t>
      </w:r>
      <w:proofErr w:type="gramStart"/>
      <w:r>
        <w:t>a</w:t>
      </w:r>
      <w:proofErr w:type="gramEnd"/>
      <w:r>
        <w:t xml:space="preserve"> antimikrobni faktori kontroli mikroorganizama. Klinička istraživanja dodatno pokazuju da osobine pljuvačke treba procjenjivati zajedno sa ishranom i oralnom higijenom. Poznavanje biohemije pljuvačke zato je važan dio hemijske osnove savremene preventivne stomatologije.</w:t>
      </w:r>
    </w:p>
    <w:p w14:paraId="300E2EE0" w14:textId="77777777" w:rsidR="002E6E1C" w:rsidRDefault="00000000">
      <w:r>
        <w:br w:type="page"/>
      </w:r>
    </w:p>
    <w:p w14:paraId="2B290CDF" w14:textId="77777777" w:rsidR="002E6E1C" w:rsidRDefault="00000000">
      <w:pPr>
        <w:pStyle w:val="Heading1"/>
      </w:pPr>
      <w:r>
        <w:lastRenderedPageBreak/>
        <w:t>7. LITERATURA</w:t>
      </w:r>
    </w:p>
    <w:p w14:paraId="60DF88C2" w14:textId="77777777" w:rsidR="002E6E1C" w:rsidRDefault="00000000">
      <w:r>
        <w:t>1. Todorović T, Dožić I. Opšta i oralna biohemija: sa priručnikom za vežbe. 1. izd. Beograd: Stomatološki fakultet Univerziteta u Beogradu; 2012. Poglavlje 10: Biohemija pljuvačke.</w:t>
      </w:r>
    </w:p>
    <w:p w14:paraId="7A8E7671" w14:textId="77777777" w:rsidR="002E6E1C" w:rsidRDefault="00000000">
      <w:r>
        <w:t xml:space="preserve">2. Farooq I, Bugshan A. The role of salivary contents and modern technologies in the remineralization of dental enamel: a narrative review. F1000Research. </w:t>
      </w:r>
      <w:proofErr w:type="gramStart"/>
      <w:r>
        <w:t>2020;9:171</w:t>
      </w:r>
      <w:proofErr w:type="gramEnd"/>
      <w:r>
        <w:t>. doi:10.12688/f1000research.22499.3.</w:t>
      </w:r>
    </w:p>
    <w:p w14:paraId="4662CE3A" w14:textId="77777777" w:rsidR="002E6E1C" w:rsidRDefault="00000000">
      <w:r>
        <w:t>3. Dožić I, Todorović T. Antimikrobni proteini pljuvačke. Stomatološki glasnik Srbije. 2005;52(4):208–216. doi:10.2298/SGS0504208D.</w:t>
      </w:r>
    </w:p>
    <w:p w14:paraId="578E669A" w14:textId="77777777" w:rsidR="002E6E1C" w:rsidRDefault="00000000">
      <w:r>
        <w:t>4. Proctor GB. The physiology of salivary secretion. Periodontol 2000. 2016;70(1):11–25. doi:10.1111/prd.12116.</w:t>
      </w:r>
    </w:p>
    <w:p w14:paraId="0D03127E" w14:textId="77777777" w:rsidR="002E6E1C" w:rsidRDefault="00000000">
      <w:r>
        <w:t>5. Roussa E. Channels and transporters in salivary glands. Cell Tissue Res. 2011;343(2):263–287. doi:10.1007/s00441-010-1089-y.</w:t>
      </w:r>
    </w:p>
    <w:sectPr w:rsidR="002E6E1C" w:rsidSect="00034616">
      <w:footerReference w:type="default" r:id="rId13"/>
      <w:pgSz w:w="11906" w:h="16838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3DEC9" w14:textId="77777777" w:rsidR="003F04B5" w:rsidRDefault="003F04B5">
      <w:pPr>
        <w:spacing w:after="0" w:line="240" w:lineRule="auto"/>
      </w:pPr>
      <w:r>
        <w:separator/>
      </w:r>
    </w:p>
  </w:endnote>
  <w:endnote w:type="continuationSeparator" w:id="0">
    <w:p w14:paraId="68CF826B" w14:textId="77777777" w:rsidR="003F04B5" w:rsidRDefault="003F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E1B3" w14:textId="77777777" w:rsidR="002E6E1C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DC6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A313A" w14:textId="77777777" w:rsidR="003F04B5" w:rsidRDefault="003F04B5">
      <w:pPr>
        <w:spacing w:after="0" w:line="240" w:lineRule="auto"/>
      </w:pPr>
      <w:r>
        <w:separator/>
      </w:r>
    </w:p>
  </w:footnote>
  <w:footnote w:type="continuationSeparator" w:id="0">
    <w:p w14:paraId="17ACFF35" w14:textId="77777777" w:rsidR="003F04B5" w:rsidRDefault="003F0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0144624">
    <w:abstractNumId w:val="8"/>
  </w:num>
  <w:num w:numId="2" w16cid:durableId="1707683340">
    <w:abstractNumId w:val="6"/>
  </w:num>
  <w:num w:numId="3" w16cid:durableId="719136636">
    <w:abstractNumId w:val="5"/>
  </w:num>
  <w:num w:numId="4" w16cid:durableId="1951812423">
    <w:abstractNumId w:val="4"/>
  </w:num>
  <w:num w:numId="5" w16cid:durableId="445345581">
    <w:abstractNumId w:val="7"/>
  </w:num>
  <w:num w:numId="6" w16cid:durableId="1618298140">
    <w:abstractNumId w:val="3"/>
  </w:num>
  <w:num w:numId="7" w16cid:durableId="1368019465">
    <w:abstractNumId w:val="2"/>
  </w:num>
  <w:num w:numId="8" w16cid:durableId="1925528961">
    <w:abstractNumId w:val="1"/>
  </w:num>
  <w:num w:numId="9" w16cid:durableId="110939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E47"/>
    <w:rsid w:val="0015074B"/>
    <w:rsid w:val="00223561"/>
    <w:rsid w:val="0029639D"/>
    <w:rsid w:val="002C4719"/>
    <w:rsid w:val="002E6E1C"/>
    <w:rsid w:val="00317641"/>
    <w:rsid w:val="00326F90"/>
    <w:rsid w:val="003B68A0"/>
    <w:rsid w:val="003D7D28"/>
    <w:rsid w:val="003F04B5"/>
    <w:rsid w:val="00495247"/>
    <w:rsid w:val="007D0B91"/>
    <w:rsid w:val="00AA1D8D"/>
    <w:rsid w:val="00B47730"/>
    <w:rsid w:val="00B73391"/>
    <w:rsid w:val="00C124EC"/>
    <w:rsid w:val="00C72B7F"/>
    <w:rsid w:val="00CB0664"/>
    <w:rsid w:val="00DC6958"/>
    <w:rsid w:val="00E90B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47494"/>
  <w14:defaultImageDpi w14:val="300"/>
  <w15:docId w15:val="{B35ABE49-293C-4BB5-8208-956794AD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C69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95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124EC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ditki.com/course/physiology/glossary/physiological-process/salivary-gland-physiology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6</cp:revision>
  <dcterms:created xsi:type="dcterms:W3CDTF">2026-10-26T19:45:00Z</dcterms:created>
  <dcterms:modified xsi:type="dcterms:W3CDTF">2026-10-27T15:35:00Z</dcterms:modified>
  <cp:category/>
</cp:coreProperties>
</file>