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A31" w:rsidRDefault="005E0A31">
      <w:pPr>
        <w:rPr>
          <w:rFonts w:ascii="Times New Roman" w:hAnsi="Times New Roman"/>
        </w:rPr>
      </w:pPr>
    </w:p>
    <w:p w:rsidR="005E0A31" w:rsidRDefault="004B49BC">
      <w:pPr>
        <w:rPr>
          <w:rFonts w:ascii="Times New Roman" w:hAnsi="Times New Roman"/>
          <w:sz w:val="28"/>
          <w:szCs w:val="28"/>
        </w:rPr>
      </w:pPr>
      <w:r>
        <w:rPr>
          <w:rFonts w:ascii="Times New Roman" w:hAnsi="Times New Roman"/>
          <w:sz w:val="28"/>
          <w:szCs w:val="28"/>
        </w:rPr>
        <w:t>Univerzitet Crne Gore</w:t>
      </w:r>
    </w:p>
    <w:p w:rsidR="005E0A31" w:rsidRDefault="004B49BC">
      <w:pPr>
        <w:rPr>
          <w:rFonts w:ascii="Times New Roman" w:hAnsi="Times New Roman"/>
          <w:sz w:val="28"/>
          <w:szCs w:val="28"/>
        </w:rPr>
      </w:pPr>
      <w:r>
        <w:rPr>
          <w:rFonts w:ascii="Times New Roman" w:hAnsi="Times New Roman"/>
          <w:sz w:val="28"/>
          <w:szCs w:val="28"/>
        </w:rPr>
        <w:t>Medicinski fakultet u Podgorici</w:t>
      </w:r>
    </w:p>
    <w:p w:rsidR="005E0A31" w:rsidRDefault="004B49BC">
      <w:pPr>
        <w:rPr>
          <w:rFonts w:ascii="Times New Roman" w:hAnsi="Times New Roman"/>
          <w:sz w:val="28"/>
          <w:szCs w:val="28"/>
        </w:rPr>
      </w:pPr>
      <w:r>
        <w:rPr>
          <w:rFonts w:ascii="Times New Roman" w:hAnsi="Times New Roman"/>
          <w:sz w:val="28"/>
          <w:szCs w:val="28"/>
        </w:rPr>
        <w:t xml:space="preserve">Studijski program: </w:t>
      </w:r>
      <w:r w:rsidR="00392725">
        <w:rPr>
          <w:rFonts w:ascii="Times New Roman" w:hAnsi="Times New Roman"/>
          <w:sz w:val="28"/>
          <w:szCs w:val="28"/>
        </w:rPr>
        <w:t>Stomatologija</w:t>
      </w: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01515E">
      <w:pPr>
        <w:rPr>
          <w:rFonts w:ascii="Times New Roman" w:hAnsi="Times New Roman"/>
        </w:rPr>
      </w:pPr>
      <w:r>
        <w:rPr>
          <w:rFonts w:ascii="Times New Roman" w:hAnsi="Times New Roman"/>
          <w:noProof/>
          <w:lang w:val="en-GB" w:eastAsia="en-GB" w:bidi="ar-SA"/>
        </w:rPr>
        <w:drawing>
          <wp:anchor distT="0" distB="0" distL="0" distR="0" simplePos="0" relativeHeight="251659264" behindDoc="0" locked="0" layoutInCell="0" allowOverlap="1" wp14:anchorId="5CE37220" wp14:editId="1C9E22B9">
            <wp:simplePos x="0" y="0"/>
            <wp:positionH relativeFrom="margin">
              <wp:align>center</wp:align>
            </wp:positionH>
            <wp:positionV relativeFrom="paragraph">
              <wp:posOffset>6985</wp:posOffset>
            </wp:positionV>
            <wp:extent cx="1715770" cy="1772920"/>
            <wp:effectExtent l="0" t="0" r="0" b="0"/>
            <wp:wrapSquare wrapText="largest"/>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rcRect r="154"/>
                    <a:stretch>
                      <a:fillRect/>
                    </a:stretch>
                  </pic:blipFill>
                  <pic:spPr bwMode="auto">
                    <a:xfrm>
                      <a:off x="0" y="0"/>
                      <a:ext cx="1715770" cy="1772920"/>
                    </a:xfrm>
                    <a:prstGeom prst="rect">
                      <a:avLst/>
                    </a:prstGeom>
                  </pic:spPr>
                </pic:pic>
              </a:graphicData>
            </a:graphic>
            <wp14:sizeRelH relativeFrom="margin">
              <wp14:pctWidth>0</wp14:pctWidth>
            </wp14:sizeRelH>
            <wp14:sizeRelV relativeFrom="margin">
              <wp14:pctHeight>0</wp14:pctHeight>
            </wp14:sizeRelV>
          </wp:anchor>
        </w:drawing>
      </w: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Default="005E0A31">
      <w:pPr>
        <w:rPr>
          <w:rFonts w:ascii="Times New Roman" w:hAnsi="Times New Roman"/>
        </w:rPr>
      </w:pPr>
    </w:p>
    <w:p w:rsidR="005E0A31" w:rsidRPr="0001515E" w:rsidRDefault="00392725">
      <w:pPr>
        <w:jc w:val="center"/>
        <w:rPr>
          <w:rFonts w:ascii="Times New Roman" w:hAnsi="Times New Roman"/>
          <w:b/>
          <w:bCs/>
          <w:sz w:val="32"/>
          <w:szCs w:val="36"/>
          <w:shd w:val="clear" w:color="auto" w:fill="FFFF00"/>
        </w:rPr>
      </w:pPr>
      <w:r w:rsidRPr="0001515E">
        <w:rPr>
          <w:rFonts w:ascii="Times New Roman" w:hAnsi="Times New Roman"/>
          <w:sz w:val="32"/>
          <w:szCs w:val="36"/>
        </w:rPr>
        <w:t>RASTVORLJIVOST HIDROKSIAPATITA I DRUGIH KALCIJUM FOSFATA U VODENIM SREDINAMA</w:t>
      </w:r>
    </w:p>
    <w:p w:rsidR="005E0A31" w:rsidRDefault="00392725">
      <w:pPr>
        <w:jc w:val="center"/>
        <w:rPr>
          <w:rFonts w:ascii="Times New Roman" w:hAnsi="Times New Roman"/>
          <w:sz w:val="28"/>
          <w:szCs w:val="28"/>
        </w:rPr>
      </w:pPr>
      <w:r>
        <w:rPr>
          <w:rFonts w:ascii="Times New Roman" w:hAnsi="Times New Roman"/>
          <w:sz w:val="28"/>
          <w:szCs w:val="28"/>
        </w:rPr>
        <w:t>Seminarski rad</w:t>
      </w:r>
    </w:p>
    <w:p w:rsidR="005E0A31" w:rsidRDefault="005E0A31">
      <w:pPr>
        <w:jc w:val="center"/>
        <w:rPr>
          <w:rFonts w:ascii="Times New Roman" w:hAnsi="Times New Roman"/>
          <w:b/>
          <w:bCs/>
        </w:rPr>
      </w:pPr>
    </w:p>
    <w:p w:rsidR="005E0A31" w:rsidRDefault="005E0A31">
      <w:pPr>
        <w:jc w:val="center"/>
        <w:rPr>
          <w:rFonts w:ascii="Times New Roman" w:hAnsi="Times New Roman"/>
          <w:b/>
          <w:bCs/>
        </w:rPr>
      </w:pPr>
    </w:p>
    <w:p w:rsidR="005E0A31" w:rsidRDefault="005E0A31">
      <w:pPr>
        <w:jc w:val="center"/>
        <w:rPr>
          <w:rFonts w:ascii="Times New Roman" w:hAnsi="Times New Roman"/>
          <w:b/>
          <w:bCs/>
        </w:rPr>
      </w:pPr>
    </w:p>
    <w:p w:rsidR="005E0A31" w:rsidRDefault="005E0A31">
      <w:pPr>
        <w:jc w:val="center"/>
        <w:rPr>
          <w:rFonts w:ascii="Times New Roman" w:hAnsi="Times New Roman"/>
          <w:b/>
          <w:bCs/>
        </w:rPr>
      </w:pPr>
    </w:p>
    <w:p w:rsidR="005E0A31" w:rsidRDefault="005E0A31">
      <w:pPr>
        <w:jc w:val="center"/>
        <w:rPr>
          <w:rFonts w:ascii="Times New Roman" w:hAnsi="Times New Roman"/>
          <w:b/>
          <w:bCs/>
        </w:rPr>
      </w:pPr>
    </w:p>
    <w:p w:rsidR="005E0A31" w:rsidRDefault="005E0A31">
      <w:pPr>
        <w:jc w:val="center"/>
        <w:rPr>
          <w:rFonts w:ascii="Times New Roman" w:hAnsi="Times New Roman"/>
          <w:b/>
          <w:bCs/>
        </w:rPr>
      </w:pPr>
    </w:p>
    <w:p w:rsidR="005E0A31" w:rsidRDefault="005E0A31">
      <w:pPr>
        <w:jc w:val="center"/>
        <w:rPr>
          <w:rFonts w:ascii="Times New Roman" w:hAnsi="Times New Roman"/>
          <w:b/>
          <w:bCs/>
        </w:rPr>
      </w:pPr>
    </w:p>
    <w:p w:rsidR="005E0A31" w:rsidRDefault="005E0A31">
      <w:pPr>
        <w:jc w:val="center"/>
        <w:rPr>
          <w:rFonts w:ascii="Times New Roman" w:hAnsi="Times New Roman"/>
        </w:rPr>
      </w:pPr>
    </w:p>
    <w:p w:rsidR="005E0A31" w:rsidRDefault="00392725">
      <w:pPr>
        <w:rPr>
          <w:sz w:val="28"/>
          <w:szCs w:val="28"/>
        </w:rPr>
      </w:pPr>
      <w:r>
        <w:rPr>
          <w:rFonts w:ascii="Times New Roman" w:hAnsi="Times New Roman"/>
          <w:sz w:val="28"/>
          <w:szCs w:val="28"/>
        </w:rPr>
        <w:t>Predmet: Hemija</w:t>
      </w:r>
      <w:r w:rsidR="004B49BC">
        <w:rPr>
          <w:rFonts w:ascii="Times New Roman" w:hAnsi="Times New Roman"/>
          <w:sz w:val="28"/>
          <w:szCs w:val="28"/>
        </w:rPr>
        <w:t xml:space="preserve">                                                 </w:t>
      </w:r>
      <w:r>
        <w:rPr>
          <w:rFonts w:ascii="Times New Roman" w:hAnsi="Times New Roman"/>
          <w:sz w:val="28"/>
          <w:szCs w:val="28"/>
        </w:rPr>
        <w:t xml:space="preserve">                 </w:t>
      </w:r>
      <w:r w:rsidR="004B49BC">
        <w:rPr>
          <w:rFonts w:ascii="Times New Roman" w:hAnsi="Times New Roman"/>
          <w:sz w:val="28"/>
          <w:szCs w:val="28"/>
        </w:rPr>
        <w:t xml:space="preserve">Student: </w:t>
      </w:r>
      <w:r>
        <w:rPr>
          <w:rFonts w:ascii="Times New Roman" w:hAnsi="Times New Roman"/>
          <w:sz w:val="28"/>
          <w:szCs w:val="28"/>
        </w:rPr>
        <w:t>Jelena Krivokapić</w:t>
      </w:r>
    </w:p>
    <w:p w:rsidR="005E0A31" w:rsidRDefault="00FA727D">
      <w:pPr>
        <w:rPr>
          <w:rFonts w:ascii="Times New Roman" w:hAnsi="Times New Roman"/>
        </w:rPr>
      </w:pPr>
      <w:r>
        <w:rPr>
          <w:rFonts w:ascii="Times New Roman" w:hAnsi="Times New Roman"/>
          <w:sz w:val="28"/>
          <w:szCs w:val="28"/>
        </w:rPr>
        <w:t>Mentor: Prof.</w:t>
      </w:r>
      <w:r w:rsidR="009621CF">
        <w:rPr>
          <w:rFonts w:ascii="Times New Roman" w:hAnsi="Times New Roman"/>
          <w:sz w:val="28"/>
          <w:szCs w:val="28"/>
        </w:rPr>
        <w:t xml:space="preserve"> dr </w:t>
      </w:r>
      <w:r w:rsidR="009621CF" w:rsidRPr="009621CF">
        <w:rPr>
          <w:rFonts w:ascii="Times New Roman" w:hAnsi="Times New Roman"/>
          <w:sz w:val="28"/>
          <w:szCs w:val="28"/>
        </w:rPr>
        <w:t>Milica Kosović Perutović</w:t>
      </w:r>
      <w:r w:rsidR="004B49BC">
        <w:rPr>
          <w:rFonts w:ascii="Times New Roman" w:hAnsi="Times New Roman"/>
          <w:sz w:val="28"/>
          <w:szCs w:val="28"/>
        </w:rPr>
        <w:t xml:space="preserve">    </w:t>
      </w:r>
      <w:r w:rsidR="009621CF">
        <w:rPr>
          <w:rFonts w:ascii="Times New Roman" w:hAnsi="Times New Roman"/>
          <w:sz w:val="28"/>
          <w:szCs w:val="28"/>
        </w:rPr>
        <w:t xml:space="preserve">                      </w:t>
      </w:r>
      <w:r w:rsidR="00392725">
        <w:rPr>
          <w:rFonts w:ascii="Times New Roman" w:hAnsi="Times New Roman"/>
          <w:sz w:val="28"/>
          <w:szCs w:val="28"/>
        </w:rPr>
        <w:t xml:space="preserve">  Broj indeksa: </w:t>
      </w:r>
      <w:r w:rsidR="009621CF">
        <w:rPr>
          <w:rFonts w:ascii="Times New Roman" w:hAnsi="Times New Roman"/>
          <w:sz w:val="28"/>
          <w:szCs w:val="28"/>
        </w:rPr>
        <w:t>20/26</w:t>
      </w:r>
    </w:p>
    <w:p w:rsidR="005E0A31" w:rsidRDefault="005E0A31">
      <w:pPr>
        <w:rPr>
          <w:rFonts w:ascii="Times New Roman" w:hAnsi="Times New Roman"/>
          <w:sz w:val="28"/>
          <w:szCs w:val="28"/>
        </w:rPr>
      </w:pPr>
    </w:p>
    <w:p w:rsidR="005E0A31" w:rsidRDefault="005E0A31">
      <w:pPr>
        <w:rPr>
          <w:rFonts w:ascii="Times New Roman" w:hAnsi="Times New Roman"/>
          <w:sz w:val="28"/>
          <w:szCs w:val="28"/>
        </w:rPr>
      </w:pPr>
    </w:p>
    <w:p w:rsidR="005E0A31" w:rsidRDefault="005E0A31">
      <w:pPr>
        <w:rPr>
          <w:rFonts w:ascii="Times New Roman" w:hAnsi="Times New Roman"/>
          <w:sz w:val="28"/>
          <w:szCs w:val="28"/>
        </w:rPr>
      </w:pPr>
    </w:p>
    <w:p w:rsidR="005E0A31" w:rsidRDefault="005E0A31">
      <w:pPr>
        <w:rPr>
          <w:rFonts w:ascii="Times New Roman" w:hAnsi="Times New Roman"/>
          <w:sz w:val="28"/>
          <w:szCs w:val="28"/>
        </w:rPr>
      </w:pPr>
    </w:p>
    <w:p w:rsidR="005E0A31" w:rsidRDefault="005E0A31">
      <w:pPr>
        <w:rPr>
          <w:rFonts w:ascii="Times New Roman" w:hAnsi="Times New Roman"/>
          <w:sz w:val="28"/>
          <w:szCs w:val="28"/>
        </w:rPr>
      </w:pPr>
    </w:p>
    <w:p w:rsidR="005E0A31" w:rsidRDefault="005E0A31">
      <w:pPr>
        <w:rPr>
          <w:rFonts w:ascii="Times New Roman" w:hAnsi="Times New Roman"/>
          <w:sz w:val="28"/>
          <w:szCs w:val="28"/>
        </w:rPr>
      </w:pPr>
    </w:p>
    <w:p w:rsidR="005E0A31" w:rsidRDefault="005E0A31">
      <w:pPr>
        <w:rPr>
          <w:rFonts w:ascii="Times New Roman" w:hAnsi="Times New Roman"/>
          <w:sz w:val="28"/>
          <w:szCs w:val="28"/>
        </w:rPr>
      </w:pPr>
    </w:p>
    <w:p w:rsidR="005E0A31" w:rsidRDefault="005E0A31">
      <w:pPr>
        <w:rPr>
          <w:rFonts w:ascii="Times New Roman" w:hAnsi="Times New Roman"/>
          <w:sz w:val="28"/>
          <w:szCs w:val="28"/>
        </w:rPr>
      </w:pPr>
    </w:p>
    <w:p w:rsidR="00DE57BF" w:rsidRDefault="00DE57BF">
      <w:pPr>
        <w:rPr>
          <w:rFonts w:ascii="Times New Roman" w:hAnsi="Times New Roman"/>
          <w:sz w:val="28"/>
          <w:szCs w:val="28"/>
        </w:rPr>
      </w:pPr>
    </w:p>
    <w:p w:rsidR="005E0A31" w:rsidRDefault="004B49BC">
      <w:pPr>
        <w:jc w:val="center"/>
        <w:rPr>
          <w:rFonts w:ascii="Times New Roman" w:hAnsi="Times New Roman"/>
          <w:sz w:val="28"/>
          <w:szCs w:val="28"/>
        </w:rPr>
      </w:pPr>
      <w:r>
        <w:rPr>
          <w:rFonts w:ascii="Times New Roman" w:hAnsi="Times New Roman"/>
          <w:sz w:val="28"/>
          <w:szCs w:val="28"/>
        </w:rPr>
        <w:t>Podgorica,</w:t>
      </w:r>
    </w:p>
    <w:p w:rsidR="005E0A31" w:rsidRDefault="00392725">
      <w:pPr>
        <w:jc w:val="center"/>
        <w:rPr>
          <w:rFonts w:ascii="Times New Roman" w:hAnsi="Times New Roman"/>
          <w:sz w:val="28"/>
          <w:szCs w:val="28"/>
        </w:rPr>
      </w:pPr>
      <w:r>
        <w:rPr>
          <w:rFonts w:ascii="Times New Roman" w:hAnsi="Times New Roman"/>
          <w:sz w:val="28"/>
          <w:szCs w:val="28"/>
        </w:rPr>
        <w:t>oktobar 2026</w:t>
      </w:r>
      <w:r w:rsidR="004B49BC">
        <w:rPr>
          <w:rFonts w:ascii="Times New Roman" w:hAnsi="Times New Roman"/>
          <w:sz w:val="28"/>
          <w:szCs w:val="28"/>
        </w:rPr>
        <w:t>. godina</w:t>
      </w:r>
    </w:p>
    <w:p w:rsidR="005E0A31" w:rsidRDefault="005E0A31">
      <w:pPr>
        <w:jc w:val="center"/>
        <w:rPr>
          <w:rFonts w:ascii="Times New Roman" w:hAnsi="Times New Roman"/>
          <w:sz w:val="28"/>
          <w:szCs w:val="28"/>
        </w:rPr>
      </w:pPr>
    </w:p>
    <w:p w:rsidR="005E0A31" w:rsidRDefault="005E0A31">
      <w:pPr>
        <w:sectPr w:rsidR="005E0A31">
          <w:pgSz w:w="11906" w:h="16838"/>
          <w:pgMar w:top="1134" w:right="1134" w:bottom="1134" w:left="1134" w:header="0" w:footer="0" w:gutter="0"/>
          <w:cols w:space="720"/>
          <w:formProt w:val="0"/>
          <w:docGrid w:linePitch="100"/>
        </w:sectPr>
      </w:pPr>
    </w:p>
    <w:sdt>
      <w:sdtPr>
        <w:rPr>
          <w:rFonts w:ascii="Liberation Serif" w:eastAsia="Noto Serif CJK SC" w:hAnsi="Liberation Serif"/>
          <w:b w:val="0"/>
          <w:sz w:val="24"/>
          <w:szCs w:val="24"/>
        </w:rPr>
        <w:id w:val="-1332211538"/>
        <w:docPartObj>
          <w:docPartGallery w:val="Table of Contents"/>
          <w:docPartUnique/>
        </w:docPartObj>
      </w:sdtPr>
      <w:sdtEndPr>
        <w:rPr>
          <w:rFonts w:ascii="Times New Roman" w:hAnsi="Times New Roman" w:cs="Times New Roman"/>
        </w:rPr>
      </w:sdtEndPr>
      <w:sdtContent>
        <w:p w:rsidR="00846F36" w:rsidRDefault="004B49BC" w:rsidP="00366216">
          <w:pPr>
            <w:pStyle w:val="TOCHeading"/>
            <w:spacing w:line="360" w:lineRule="auto"/>
            <w:rPr>
              <w:noProof/>
            </w:rPr>
          </w:pPr>
          <w:r w:rsidRPr="0097489C">
            <w:t>SADRŽAJ</w:t>
          </w:r>
          <w:r w:rsidRPr="0097489C">
            <w:fldChar w:fldCharType="begin"/>
          </w:r>
          <w:r w:rsidRPr="0097489C">
            <w:rPr>
              <w:rStyle w:val="IndexLink"/>
              <w:rFonts w:cs="Times New Roman"/>
            </w:rPr>
            <w:instrText xml:space="preserve"> TOC \f \o "1-9" \h</w:instrText>
          </w:r>
          <w:r w:rsidRPr="0097489C">
            <w:rPr>
              <w:rStyle w:val="IndexLink"/>
              <w:rFonts w:cs="Times New Roman"/>
            </w:rPr>
            <w:fldChar w:fldCharType="separate"/>
          </w:r>
        </w:p>
        <w:p w:rsidR="00846F36" w:rsidRDefault="000D3B15" w:rsidP="00846F36">
          <w:pPr>
            <w:pStyle w:val="TOC1"/>
            <w:spacing w:after="120" w:line="360" w:lineRule="auto"/>
            <w:rPr>
              <w:rFonts w:asciiTheme="minorHAnsi" w:eastAsiaTheme="minorEastAsia" w:hAnsiTheme="minorHAnsi" w:cstheme="minorBidi"/>
              <w:noProof/>
              <w:kern w:val="0"/>
              <w:sz w:val="22"/>
              <w:szCs w:val="22"/>
              <w:lang w:val="en-GB" w:eastAsia="en-GB" w:bidi="ar-SA"/>
            </w:rPr>
          </w:pPr>
          <w:hyperlink w:anchor="_Toc244025617" w:history="1">
            <w:r w:rsidR="00846F36" w:rsidRPr="00567811">
              <w:rPr>
                <w:rStyle w:val="Hyperlink"/>
                <w:noProof/>
              </w:rPr>
              <w:t>1. UVOD</w:t>
            </w:r>
            <w:r w:rsidR="00846F36">
              <w:rPr>
                <w:noProof/>
              </w:rPr>
              <w:tab/>
            </w:r>
            <w:r w:rsidR="00846F36">
              <w:rPr>
                <w:noProof/>
              </w:rPr>
              <w:fldChar w:fldCharType="begin"/>
            </w:r>
            <w:r w:rsidR="00846F36">
              <w:rPr>
                <w:noProof/>
              </w:rPr>
              <w:instrText xml:space="preserve"> PAGEREF _Toc244025617 \h </w:instrText>
            </w:r>
            <w:r w:rsidR="00846F36">
              <w:rPr>
                <w:noProof/>
              </w:rPr>
            </w:r>
            <w:r w:rsidR="00846F36">
              <w:rPr>
                <w:noProof/>
              </w:rPr>
              <w:fldChar w:fldCharType="separate"/>
            </w:r>
            <w:r w:rsidR="00846F36">
              <w:rPr>
                <w:noProof/>
              </w:rPr>
              <w:t>1</w:t>
            </w:r>
            <w:r w:rsidR="00846F36">
              <w:rPr>
                <w:noProof/>
              </w:rPr>
              <w:fldChar w:fldCharType="end"/>
            </w:r>
          </w:hyperlink>
        </w:p>
        <w:p w:rsidR="00846F36" w:rsidRDefault="000D3B15">
          <w:pPr>
            <w:pStyle w:val="TOC1"/>
            <w:rPr>
              <w:rFonts w:asciiTheme="minorHAnsi" w:eastAsiaTheme="minorEastAsia" w:hAnsiTheme="minorHAnsi" w:cstheme="minorBidi"/>
              <w:noProof/>
              <w:kern w:val="0"/>
              <w:sz w:val="22"/>
              <w:szCs w:val="22"/>
              <w:lang w:val="en-GB" w:eastAsia="en-GB" w:bidi="ar-SA"/>
            </w:rPr>
          </w:pPr>
          <w:hyperlink w:anchor="_Toc244025618" w:history="1">
            <w:r w:rsidR="00846F36" w:rsidRPr="00567811">
              <w:rPr>
                <w:rStyle w:val="Hyperlink"/>
                <w:noProof/>
              </w:rPr>
              <w:t>2. HIDROKSIAPATIT KAO OSNOVNA MINERALNA KOMPONENTA ZUBNIH TKIVA</w:t>
            </w:r>
            <w:r w:rsidR="00846F36">
              <w:rPr>
                <w:noProof/>
              </w:rPr>
              <w:tab/>
            </w:r>
            <w:r w:rsidR="00846F36">
              <w:rPr>
                <w:noProof/>
              </w:rPr>
              <w:fldChar w:fldCharType="begin"/>
            </w:r>
            <w:r w:rsidR="00846F36">
              <w:rPr>
                <w:noProof/>
              </w:rPr>
              <w:instrText xml:space="preserve"> PAGEREF _Toc244025618 \h </w:instrText>
            </w:r>
            <w:r w:rsidR="00846F36">
              <w:rPr>
                <w:noProof/>
              </w:rPr>
            </w:r>
            <w:r w:rsidR="00846F36">
              <w:rPr>
                <w:noProof/>
              </w:rPr>
              <w:fldChar w:fldCharType="separate"/>
            </w:r>
            <w:r w:rsidR="00846F36">
              <w:rPr>
                <w:noProof/>
              </w:rPr>
              <w:t>2</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19" w:history="1">
            <w:r w:rsidR="00846F36" w:rsidRPr="00567811">
              <w:rPr>
                <w:rStyle w:val="Hyperlink"/>
                <w:noProof/>
              </w:rPr>
              <w:t>2.1. Hemijski sastav i struktura hidroksiapatita</w:t>
            </w:r>
            <w:r w:rsidR="00846F36">
              <w:rPr>
                <w:noProof/>
              </w:rPr>
              <w:tab/>
            </w:r>
            <w:r w:rsidR="00846F36">
              <w:rPr>
                <w:noProof/>
              </w:rPr>
              <w:fldChar w:fldCharType="begin"/>
            </w:r>
            <w:r w:rsidR="00846F36">
              <w:rPr>
                <w:noProof/>
              </w:rPr>
              <w:instrText xml:space="preserve"> PAGEREF _Toc244025619 \h </w:instrText>
            </w:r>
            <w:r w:rsidR="00846F36">
              <w:rPr>
                <w:noProof/>
              </w:rPr>
            </w:r>
            <w:r w:rsidR="00846F36">
              <w:rPr>
                <w:noProof/>
              </w:rPr>
              <w:fldChar w:fldCharType="separate"/>
            </w:r>
            <w:r w:rsidR="00846F36">
              <w:rPr>
                <w:noProof/>
              </w:rPr>
              <w:t>2</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20" w:history="1">
            <w:r w:rsidR="00846F36" w:rsidRPr="00567811">
              <w:rPr>
                <w:rStyle w:val="Hyperlink"/>
                <w:noProof/>
              </w:rPr>
              <w:t>2.2. Značaj hidroksiapatita za osobine zubne gleđi i dentina</w:t>
            </w:r>
            <w:r w:rsidR="00846F36">
              <w:rPr>
                <w:noProof/>
              </w:rPr>
              <w:tab/>
            </w:r>
            <w:r w:rsidR="00846F36">
              <w:rPr>
                <w:noProof/>
              </w:rPr>
              <w:fldChar w:fldCharType="begin"/>
            </w:r>
            <w:r w:rsidR="00846F36">
              <w:rPr>
                <w:noProof/>
              </w:rPr>
              <w:instrText xml:space="preserve"> PAGEREF _Toc244025620 \h </w:instrText>
            </w:r>
            <w:r w:rsidR="00846F36">
              <w:rPr>
                <w:noProof/>
              </w:rPr>
            </w:r>
            <w:r w:rsidR="00846F36">
              <w:rPr>
                <w:noProof/>
              </w:rPr>
              <w:fldChar w:fldCharType="separate"/>
            </w:r>
            <w:r w:rsidR="00846F36">
              <w:rPr>
                <w:noProof/>
              </w:rPr>
              <w:t>2</w:t>
            </w:r>
            <w:r w:rsidR="00846F36">
              <w:rPr>
                <w:noProof/>
              </w:rPr>
              <w:fldChar w:fldCharType="end"/>
            </w:r>
          </w:hyperlink>
        </w:p>
        <w:p w:rsidR="00846F36" w:rsidRDefault="000D3B15">
          <w:pPr>
            <w:pStyle w:val="TOC1"/>
            <w:rPr>
              <w:rFonts w:asciiTheme="minorHAnsi" w:eastAsiaTheme="minorEastAsia" w:hAnsiTheme="minorHAnsi" w:cstheme="minorBidi"/>
              <w:noProof/>
              <w:kern w:val="0"/>
              <w:sz w:val="22"/>
              <w:szCs w:val="22"/>
              <w:lang w:val="en-GB" w:eastAsia="en-GB" w:bidi="ar-SA"/>
            </w:rPr>
          </w:pPr>
          <w:hyperlink w:anchor="_Toc244025621" w:history="1">
            <w:r w:rsidR="00846F36" w:rsidRPr="00567811">
              <w:rPr>
                <w:rStyle w:val="Hyperlink"/>
                <w:noProof/>
              </w:rPr>
              <w:t>3. HEMIJSKA OSNOVA RASTVORLJIVOSTI HIDROKSIAPATITA</w:t>
            </w:r>
            <w:r w:rsidR="00846F36">
              <w:rPr>
                <w:noProof/>
              </w:rPr>
              <w:tab/>
            </w:r>
            <w:r w:rsidR="00846F36">
              <w:rPr>
                <w:noProof/>
              </w:rPr>
              <w:fldChar w:fldCharType="begin"/>
            </w:r>
            <w:r w:rsidR="00846F36">
              <w:rPr>
                <w:noProof/>
              </w:rPr>
              <w:instrText xml:space="preserve"> PAGEREF _Toc244025621 \h </w:instrText>
            </w:r>
            <w:r w:rsidR="00846F36">
              <w:rPr>
                <w:noProof/>
              </w:rPr>
            </w:r>
            <w:r w:rsidR="00846F36">
              <w:rPr>
                <w:noProof/>
              </w:rPr>
              <w:fldChar w:fldCharType="separate"/>
            </w:r>
            <w:r w:rsidR="00846F36">
              <w:rPr>
                <w:noProof/>
              </w:rPr>
              <w:t>4</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22" w:history="1">
            <w:r w:rsidR="00846F36" w:rsidRPr="00567811">
              <w:rPr>
                <w:rStyle w:val="Hyperlink"/>
                <w:noProof/>
              </w:rPr>
              <w:t>3.1. Pojam rastvorljivosti i hemijske ravnoteže</w:t>
            </w:r>
            <w:r w:rsidR="00846F36">
              <w:rPr>
                <w:noProof/>
              </w:rPr>
              <w:tab/>
            </w:r>
            <w:r w:rsidR="00846F36">
              <w:rPr>
                <w:noProof/>
              </w:rPr>
              <w:fldChar w:fldCharType="begin"/>
            </w:r>
            <w:r w:rsidR="00846F36">
              <w:rPr>
                <w:noProof/>
              </w:rPr>
              <w:instrText xml:space="preserve"> PAGEREF _Toc244025622 \h </w:instrText>
            </w:r>
            <w:r w:rsidR="00846F36">
              <w:rPr>
                <w:noProof/>
              </w:rPr>
            </w:r>
            <w:r w:rsidR="00846F36">
              <w:rPr>
                <w:noProof/>
              </w:rPr>
              <w:fldChar w:fldCharType="separate"/>
            </w:r>
            <w:r w:rsidR="00846F36">
              <w:rPr>
                <w:noProof/>
              </w:rPr>
              <w:t>4</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23" w:history="1">
            <w:r w:rsidR="00846F36" w:rsidRPr="00567811">
              <w:rPr>
                <w:rStyle w:val="Hyperlink"/>
                <w:noProof/>
              </w:rPr>
              <w:t>3.2. Reakcija rastvaranja hidroksiapatita</w:t>
            </w:r>
            <w:r w:rsidR="00846F36">
              <w:rPr>
                <w:noProof/>
              </w:rPr>
              <w:tab/>
            </w:r>
            <w:r w:rsidR="00846F36">
              <w:rPr>
                <w:noProof/>
              </w:rPr>
              <w:fldChar w:fldCharType="begin"/>
            </w:r>
            <w:r w:rsidR="00846F36">
              <w:rPr>
                <w:noProof/>
              </w:rPr>
              <w:instrText xml:space="preserve"> PAGEREF _Toc244025623 \h </w:instrText>
            </w:r>
            <w:r w:rsidR="00846F36">
              <w:rPr>
                <w:noProof/>
              </w:rPr>
            </w:r>
            <w:r w:rsidR="00846F36">
              <w:rPr>
                <w:noProof/>
              </w:rPr>
              <w:fldChar w:fldCharType="separate"/>
            </w:r>
            <w:r w:rsidR="00846F36">
              <w:rPr>
                <w:noProof/>
              </w:rPr>
              <w:t>4</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24" w:history="1">
            <w:r w:rsidR="00846F36" w:rsidRPr="00567811">
              <w:rPr>
                <w:rStyle w:val="Hyperlink"/>
                <w:noProof/>
              </w:rPr>
              <w:t>3.3. Proizvod rastvorljivosti i stepen zasićenosti rastvora</w:t>
            </w:r>
            <w:r w:rsidR="00846F36">
              <w:rPr>
                <w:noProof/>
              </w:rPr>
              <w:tab/>
            </w:r>
            <w:r w:rsidR="00846F36">
              <w:rPr>
                <w:noProof/>
              </w:rPr>
              <w:fldChar w:fldCharType="begin"/>
            </w:r>
            <w:r w:rsidR="00846F36">
              <w:rPr>
                <w:noProof/>
              </w:rPr>
              <w:instrText xml:space="preserve"> PAGEREF _Toc244025624 \h </w:instrText>
            </w:r>
            <w:r w:rsidR="00846F36">
              <w:rPr>
                <w:noProof/>
              </w:rPr>
            </w:r>
            <w:r w:rsidR="00846F36">
              <w:rPr>
                <w:noProof/>
              </w:rPr>
              <w:fldChar w:fldCharType="separate"/>
            </w:r>
            <w:r w:rsidR="00846F36">
              <w:rPr>
                <w:noProof/>
              </w:rPr>
              <w:t>4</w:t>
            </w:r>
            <w:r w:rsidR="00846F36">
              <w:rPr>
                <w:noProof/>
              </w:rPr>
              <w:fldChar w:fldCharType="end"/>
            </w:r>
          </w:hyperlink>
        </w:p>
        <w:p w:rsidR="00846F36" w:rsidRDefault="000D3B15">
          <w:pPr>
            <w:pStyle w:val="TOC1"/>
            <w:rPr>
              <w:rFonts w:asciiTheme="minorHAnsi" w:eastAsiaTheme="minorEastAsia" w:hAnsiTheme="minorHAnsi" w:cstheme="minorBidi"/>
              <w:noProof/>
              <w:kern w:val="0"/>
              <w:sz w:val="22"/>
              <w:szCs w:val="22"/>
              <w:lang w:val="en-GB" w:eastAsia="en-GB" w:bidi="ar-SA"/>
            </w:rPr>
          </w:pPr>
          <w:hyperlink w:anchor="_Toc244025625" w:history="1">
            <w:r w:rsidR="00846F36" w:rsidRPr="00567811">
              <w:rPr>
                <w:rStyle w:val="Hyperlink"/>
                <w:noProof/>
              </w:rPr>
              <w:t>4. RASTVORLJIVOST DRUGIH KALCIJUM-FOSFATA</w:t>
            </w:r>
            <w:r w:rsidR="00846F36">
              <w:rPr>
                <w:noProof/>
              </w:rPr>
              <w:tab/>
            </w:r>
            <w:r w:rsidR="00846F36">
              <w:rPr>
                <w:noProof/>
              </w:rPr>
              <w:fldChar w:fldCharType="begin"/>
            </w:r>
            <w:r w:rsidR="00846F36">
              <w:rPr>
                <w:noProof/>
              </w:rPr>
              <w:instrText xml:space="preserve"> PAGEREF _Toc244025625 \h </w:instrText>
            </w:r>
            <w:r w:rsidR="00846F36">
              <w:rPr>
                <w:noProof/>
              </w:rPr>
            </w:r>
            <w:r w:rsidR="00846F36">
              <w:rPr>
                <w:noProof/>
              </w:rPr>
              <w:fldChar w:fldCharType="separate"/>
            </w:r>
            <w:r w:rsidR="00846F36">
              <w:rPr>
                <w:noProof/>
              </w:rPr>
              <w:t>5</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26" w:history="1">
            <w:r w:rsidR="00846F36" w:rsidRPr="00567811">
              <w:rPr>
                <w:rStyle w:val="Hyperlink"/>
                <w:noProof/>
              </w:rPr>
              <w:t>4.1. Osnovne karakteristike drugih kalcijum-fosfata</w:t>
            </w:r>
            <w:r w:rsidR="00846F36">
              <w:rPr>
                <w:noProof/>
              </w:rPr>
              <w:tab/>
            </w:r>
            <w:r w:rsidR="00846F36">
              <w:rPr>
                <w:noProof/>
              </w:rPr>
              <w:fldChar w:fldCharType="begin"/>
            </w:r>
            <w:r w:rsidR="00846F36">
              <w:rPr>
                <w:noProof/>
              </w:rPr>
              <w:instrText xml:space="preserve"> PAGEREF _Toc244025626 \h </w:instrText>
            </w:r>
            <w:r w:rsidR="00846F36">
              <w:rPr>
                <w:noProof/>
              </w:rPr>
            </w:r>
            <w:r w:rsidR="00846F36">
              <w:rPr>
                <w:noProof/>
              </w:rPr>
              <w:fldChar w:fldCharType="separate"/>
            </w:r>
            <w:r w:rsidR="00846F36">
              <w:rPr>
                <w:noProof/>
              </w:rPr>
              <w:t>5</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27" w:history="1">
            <w:r w:rsidR="00846F36" w:rsidRPr="00567811">
              <w:rPr>
                <w:rStyle w:val="Hyperlink"/>
                <w:noProof/>
              </w:rPr>
              <w:t>4.2. Poređenje rastvorljivosti i stabilnosti različitih kalcijum-fosfatnih jedinjenja</w:t>
            </w:r>
            <w:r w:rsidR="00846F36">
              <w:rPr>
                <w:noProof/>
              </w:rPr>
              <w:tab/>
            </w:r>
            <w:r w:rsidR="00846F36">
              <w:rPr>
                <w:noProof/>
              </w:rPr>
              <w:fldChar w:fldCharType="begin"/>
            </w:r>
            <w:r w:rsidR="00846F36">
              <w:rPr>
                <w:noProof/>
              </w:rPr>
              <w:instrText xml:space="preserve"> PAGEREF _Toc244025627 \h </w:instrText>
            </w:r>
            <w:r w:rsidR="00846F36">
              <w:rPr>
                <w:noProof/>
              </w:rPr>
            </w:r>
            <w:r w:rsidR="00846F36">
              <w:rPr>
                <w:noProof/>
              </w:rPr>
              <w:fldChar w:fldCharType="separate"/>
            </w:r>
            <w:r w:rsidR="00846F36">
              <w:rPr>
                <w:noProof/>
              </w:rPr>
              <w:t>5</w:t>
            </w:r>
            <w:r w:rsidR="00846F36">
              <w:rPr>
                <w:noProof/>
              </w:rPr>
              <w:fldChar w:fldCharType="end"/>
            </w:r>
          </w:hyperlink>
        </w:p>
        <w:p w:rsidR="00846F36" w:rsidRDefault="000D3B15">
          <w:pPr>
            <w:pStyle w:val="TOC1"/>
            <w:rPr>
              <w:rFonts w:asciiTheme="minorHAnsi" w:eastAsiaTheme="minorEastAsia" w:hAnsiTheme="minorHAnsi" w:cstheme="minorBidi"/>
              <w:noProof/>
              <w:kern w:val="0"/>
              <w:sz w:val="22"/>
              <w:szCs w:val="22"/>
              <w:lang w:val="en-GB" w:eastAsia="en-GB" w:bidi="ar-SA"/>
            </w:rPr>
          </w:pPr>
          <w:hyperlink w:anchor="_Toc244025628" w:history="1">
            <w:r w:rsidR="00846F36" w:rsidRPr="00567811">
              <w:rPr>
                <w:rStyle w:val="Hyperlink"/>
                <w:noProof/>
              </w:rPr>
              <w:t>5. FAKTORI KOJI UTIČU NA RASTVORLJIVOST</w:t>
            </w:r>
            <w:r w:rsidR="00846F36">
              <w:rPr>
                <w:noProof/>
              </w:rPr>
              <w:tab/>
            </w:r>
            <w:r w:rsidR="00846F36">
              <w:rPr>
                <w:noProof/>
              </w:rPr>
              <w:fldChar w:fldCharType="begin"/>
            </w:r>
            <w:r w:rsidR="00846F36">
              <w:rPr>
                <w:noProof/>
              </w:rPr>
              <w:instrText xml:space="preserve"> PAGEREF _Toc244025628 \h </w:instrText>
            </w:r>
            <w:r w:rsidR="00846F36">
              <w:rPr>
                <w:noProof/>
              </w:rPr>
            </w:r>
            <w:r w:rsidR="00846F36">
              <w:rPr>
                <w:noProof/>
              </w:rPr>
              <w:fldChar w:fldCharType="separate"/>
            </w:r>
            <w:r w:rsidR="00846F36">
              <w:rPr>
                <w:noProof/>
              </w:rPr>
              <w:t>7</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29" w:history="1">
            <w:r w:rsidR="00846F36" w:rsidRPr="00567811">
              <w:rPr>
                <w:rStyle w:val="Hyperlink"/>
                <w:noProof/>
              </w:rPr>
              <w:t>5.1. Uticaj pH vrijednosti</w:t>
            </w:r>
            <w:r w:rsidR="00846F36">
              <w:rPr>
                <w:noProof/>
              </w:rPr>
              <w:tab/>
            </w:r>
            <w:r w:rsidR="00846F36">
              <w:rPr>
                <w:noProof/>
              </w:rPr>
              <w:fldChar w:fldCharType="begin"/>
            </w:r>
            <w:r w:rsidR="00846F36">
              <w:rPr>
                <w:noProof/>
              </w:rPr>
              <w:instrText xml:space="preserve"> PAGEREF _Toc244025629 \h </w:instrText>
            </w:r>
            <w:r w:rsidR="00846F36">
              <w:rPr>
                <w:noProof/>
              </w:rPr>
            </w:r>
            <w:r w:rsidR="00846F36">
              <w:rPr>
                <w:noProof/>
              </w:rPr>
              <w:fldChar w:fldCharType="separate"/>
            </w:r>
            <w:r w:rsidR="00846F36">
              <w:rPr>
                <w:noProof/>
              </w:rPr>
              <w:t>7</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30" w:history="1">
            <w:r w:rsidR="00846F36" w:rsidRPr="00567811">
              <w:rPr>
                <w:rStyle w:val="Hyperlink"/>
                <w:noProof/>
              </w:rPr>
              <w:t>5.2. Koncentracija kalcijumovih i fosfatnih jona</w:t>
            </w:r>
            <w:r w:rsidR="00846F36">
              <w:rPr>
                <w:noProof/>
              </w:rPr>
              <w:tab/>
            </w:r>
            <w:r w:rsidR="00846F36">
              <w:rPr>
                <w:noProof/>
              </w:rPr>
              <w:fldChar w:fldCharType="begin"/>
            </w:r>
            <w:r w:rsidR="00846F36">
              <w:rPr>
                <w:noProof/>
              </w:rPr>
              <w:instrText xml:space="preserve"> PAGEREF _Toc244025630 \h </w:instrText>
            </w:r>
            <w:r w:rsidR="00846F36">
              <w:rPr>
                <w:noProof/>
              </w:rPr>
            </w:r>
            <w:r w:rsidR="00846F36">
              <w:rPr>
                <w:noProof/>
              </w:rPr>
              <w:fldChar w:fldCharType="separate"/>
            </w:r>
            <w:r w:rsidR="00846F36">
              <w:rPr>
                <w:noProof/>
              </w:rPr>
              <w:t>8</w:t>
            </w:r>
            <w:r w:rsidR="00846F36">
              <w:rPr>
                <w:noProof/>
              </w:rPr>
              <w:fldChar w:fldCharType="end"/>
            </w:r>
          </w:hyperlink>
        </w:p>
        <w:p w:rsidR="00846F36" w:rsidRDefault="000D3B15">
          <w:pPr>
            <w:pStyle w:val="TOC2"/>
            <w:rPr>
              <w:rFonts w:asciiTheme="minorHAnsi" w:eastAsiaTheme="minorEastAsia" w:hAnsiTheme="minorHAnsi" w:cstheme="minorBidi"/>
              <w:noProof/>
              <w:kern w:val="0"/>
              <w:sz w:val="22"/>
              <w:szCs w:val="22"/>
              <w:lang w:val="en-GB" w:eastAsia="en-GB" w:bidi="ar-SA"/>
            </w:rPr>
          </w:pPr>
          <w:hyperlink w:anchor="_Toc244025631" w:history="1">
            <w:r w:rsidR="00846F36" w:rsidRPr="00567811">
              <w:rPr>
                <w:rStyle w:val="Hyperlink"/>
                <w:noProof/>
              </w:rPr>
              <w:t>5.3. Ostali faktori</w:t>
            </w:r>
            <w:r w:rsidR="00846F36">
              <w:rPr>
                <w:noProof/>
              </w:rPr>
              <w:tab/>
            </w:r>
            <w:r w:rsidR="00846F36">
              <w:rPr>
                <w:noProof/>
              </w:rPr>
              <w:fldChar w:fldCharType="begin"/>
            </w:r>
            <w:r w:rsidR="00846F36">
              <w:rPr>
                <w:noProof/>
              </w:rPr>
              <w:instrText xml:space="preserve"> PAGEREF _Toc244025631 \h </w:instrText>
            </w:r>
            <w:r w:rsidR="00846F36">
              <w:rPr>
                <w:noProof/>
              </w:rPr>
            </w:r>
            <w:r w:rsidR="00846F36">
              <w:rPr>
                <w:noProof/>
              </w:rPr>
              <w:fldChar w:fldCharType="separate"/>
            </w:r>
            <w:r w:rsidR="00846F36">
              <w:rPr>
                <w:noProof/>
              </w:rPr>
              <w:t>8</w:t>
            </w:r>
            <w:r w:rsidR="00846F36">
              <w:rPr>
                <w:noProof/>
              </w:rPr>
              <w:fldChar w:fldCharType="end"/>
            </w:r>
          </w:hyperlink>
        </w:p>
        <w:p w:rsidR="00846F36" w:rsidRDefault="000D3B15">
          <w:pPr>
            <w:pStyle w:val="TOC1"/>
            <w:rPr>
              <w:rFonts w:asciiTheme="minorHAnsi" w:eastAsiaTheme="minorEastAsia" w:hAnsiTheme="minorHAnsi" w:cstheme="minorBidi"/>
              <w:noProof/>
              <w:kern w:val="0"/>
              <w:sz w:val="22"/>
              <w:szCs w:val="22"/>
              <w:lang w:val="en-GB" w:eastAsia="en-GB" w:bidi="ar-SA"/>
            </w:rPr>
          </w:pPr>
          <w:hyperlink w:anchor="_Toc244025632" w:history="1">
            <w:r w:rsidR="00846F36" w:rsidRPr="00567811">
              <w:rPr>
                <w:rStyle w:val="Hyperlink"/>
                <w:noProof/>
              </w:rPr>
              <w:t>6. ZNAČAJ RASTVORLJIVOSTI KALCIJUM-FOSFATA U STOMATOLOGIJI</w:t>
            </w:r>
            <w:r w:rsidR="00846F36">
              <w:rPr>
                <w:noProof/>
              </w:rPr>
              <w:tab/>
            </w:r>
            <w:r w:rsidR="00846F36">
              <w:rPr>
                <w:noProof/>
              </w:rPr>
              <w:fldChar w:fldCharType="begin"/>
            </w:r>
            <w:r w:rsidR="00846F36">
              <w:rPr>
                <w:noProof/>
              </w:rPr>
              <w:instrText xml:space="preserve"> PAGEREF _Toc244025632 \h </w:instrText>
            </w:r>
            <w:r w:rsidR="00846F36">
              <w:rPr>
                <w:noProof/>
              </w:rPr>
            </w:r>
            <w:r w:rsidR="00846F36">
              <w:rPr>
                <w:noProof/>
              </w:rPr>
              <w:fldChar w:fldCharType="separate"/>
            </w:r>
            <w:r w:rsidR="00846F36">
              <w:rPr>
                <w:noProof/>
              </w:rPr>
              <w:t>9</w:t>
            </w:r>
            <w:r w:rsidR="00846F36">
              <w:rPr>
                <w:noProof/>
              </w:rPr>
              <w:fldChar w:fldCharType="end"/>
            </w:r>
          </w:hyperlink>
        </w:p>
        <w:p w:rsidR="00846F36" w:rsidRDefault="000D3B15">
          <w:pPr>
            <w:pStyle w:val="TOC1"/>
            <w:rPr>
              <w:rFonts w:asciiTheme="minorHAnsi" w:eastAsiaTheme="minorEastAsia" w:hAnsiTheme="minorHAnsi" w:cstheme="minorBidi"/>
              <w:noProof/>
              <w:kern w:val="0"/>
              <w:sz w:val="22"/>
              <w:szCs w:val="22"/>
              <w:lang w:val="en-GB" w:eastAsia="en-GB" w:bidi="ar-SA"/>
            </w:rPr>
          </w:pPr>
          <w:hyperlink w:anchor="_Toc244025633" w:history="1">
            <w:r w:rsidR="00846F36" w:rsidRPr="00567811">
              <w:rPr>
                <w:rStyle w:val="Hyperlink"/>
                <w:noProof/>
              </w:rPr>
              <w:t>7. ZAKLJUČAK</w:t>
            </w:r>
            <w:r w:rsidR="00846F36">
              <w:rPr>
                <w:noProof/>
              </w:rPr>
              <w:tab/>
            </w:r>
            <w:r w:rsidR="00846F36">
              <w:rPr>
                <w:noProof/>
              </w:rPr>
              <w:fldChar w:fldCharType="begin"/>
            </w:r>
            <w:r w:rsidR="00846F36">
              <w:rPr>
                <w:noProof/>
              </w:rPr>
              <w:instrText xml:space="preserve"> PAGEREF _Toc244025633 \h </w:instrText>
            </w:r>
            <w:r w:rsidR="00846F36">
              <w:rPr>
                <w:noProof/>
              </w:rPr>
            </w:r>
            <w:r w:rsidR="00846F36">
              <w:rPr>
                <w:noProof/>
              </w:rPr>
              <w:fldChar w:fldCharType="separate"/>
            </w:r>
            <w:r w:rsidR="00846F36">
              <w:rPr>
                <w:noProof/>
              </w:rPr>
              <w:t>10</w:t>
            </w:r>
            <w:r w:rsidR="00846F36">
              <w:rPr>
                <w:noProof/>
              </w:rPr>
              <w:fldChar w:fldCharType="end"/>
            </w:r>
          </w:hyperlink>
        </w:p>
        <w:p w:rsidR="00846F36" w:rsidRDefault="000D3B15">
          <w:pPr>
            <w:pStyle w:val="TOC1"/>
            <w:rPr>
              <w:rFonts w:asciiTheme="minorHAnsi" w:eastAsiaTheme="minorEastAsia" w:hAnsiTheme="minorHAnsi" w:cstheme="minorBidi"/>
              <w:noProof/>
              <w:kern w:val="0"/>
              <w:sz w:val="22"/>
              <w:szCs w:val="22"/>
              <w:lang w:val="en-GB" w:eastAsia="en-GB" w:bidi="ar-SA"/>
            </w:rPr>
          </w:pPr>
          <w:hyperlink w:anchor="_Toc244025634" w:history="1">
            <w:r w:rsidR="00846F36" w:rsidRPr="00567811">
              <w:rPr>
                <w:rStyle w:val="Hyperlink"/>
                <w:noProof/>
              </w:rPr>
              <w:t>8. LITERATURA</w:t>
            </w:r>
            <w:r w:rsidR="00846F36">
              <w:rPr>
                <w:noProof/>
              </w:rPr>
              <w:tab/>
            </w:r>
            <w:r w:rsidR="00846F36">
              <w:rPr>
                <w:noProof/>
              </w:rPr>
              <w:fldChar w:fldCharType="begin"/>
            </w:r>
            <w:r w:rsidR="00846F36">
              <w:rPr>
                <w:noProof/>
              </w:rPr>
              <w:instrText xml:space="preserve"> PAGEREF _Toc244025634 \h </w:instrText>
            </w:r>
            <w:r w:rsidR="00846F36">
              <w:rPr>
                <w:noProof/>
              </w:rPr>
            </w:r>
            <w:r w:rsidR="00846F36">
              <w:rPr>
                <w:noProof/>
              </w:rPr>
              <w:fldChar w:fldCharType="separate"/>
            </w:r>
            <w:r w:rsidR="00846F36">
              <w:rPr>
                <w:noProof/>
              </w:rPr>
              <w:t>11</w:t>
            </w:r>
            <w:r w:rsidR="00846F36">
              <w:rPr>
                <w:noProof/>
              </w:rPr>
              <w:fldChar w:fldCharType="end"/>
            </w:r>
          </w:hyperlink>
        </w:p>
        <w:p w:rsidR="00F829D1" w:rsidRPr="00F829D1" w:rsidRDefault="004B49BC" w:rsidP="00F829D1">
          <w:pPr>
            <w:pStyle w:val="TOC1"/>
            <w:spacing w:line="360" w:lineRule="auto"/>
            <w:rPr>
              <w:rFonts w:ascii="Times New Roman" w:hAnsi="Times New Roman" w:cs="Times New Roman"/>
            </w:rPr>
            <w:sectPr w:rsidR="00F829D1" w:rsidRPr="00F829D1" w:rsidSect="00F829D1">
              <w:pgSz w:w="11906" w:h="16838"/>
              <w:pgMar w:top="1134" w:right="1134" w:bottom="1693" w:left="1134" w:header="0" w:footer="1134" w:gutter="0"/>
              <w:pgNumType w:start="1"/>
              <w:cols w:space="720"/>
              <w:formProt w:val="0"/>
              <w:docGrid w:linePitch="600" w:charSpace="32768"/>
            </w:sectPr>
          </w:pPr>
          <w:r w:rsidRPr="0097489C">
            <w:rPr>
              <w:rStyle w:val="IndexLink"/>
              <w:rFonts w:ascii="Times New Roman" w:hAnsi="Times New Roman" w:cs="Times New Roman"/>
              <w:sz w:val="28"/>
              <w:szCs w:val="28"/>
            </w:rPr>
            <w:fldChar w:fldCharType="end"/>
          </w:r>
        </w:p>
      </w:sdtContent>
    </w:sdt>
    <w:p w:rsidR="00685266" w:rsidRPr="00685266" w:rsidRDefault="00366216" w:rsidP="00685266">
      <w:pPr>
        <w:pStyle w:val="Heading1"/>
      </w:pPr>
      <w:bookmarkStart w:id="0" w:name="__RefHeading___Toc865_328499454"/>
      <w:bookmarkStart w:id="1" w:name="_Toc244025617"/>
      <w:bookmarkEnd w:id="0"/>
      <w:r>
        <w:lastRenderedPageBreak/>
        <w:t xml:space="preserve">1. </w:t>
      </w:r>
      <w:r w:rsidR="00CA181D" w:rsidRPr="00366216">
        <w:t>UVOD</w:t>
      </w:r>
      <w:bookmarkEnd w:id="1"/>
      <w:r w:rsidR="004C7F0E" w:rsidRPr="00366216">
        <w:tab/>
      </w:r>
    </w:p>
    <w:p w:rsidR="00430833" w:rsidRDefault="00B72268" w:rsidP="00366216">
      <w:pPr>
        <w:spacing w:after="120" w:line="360" w:lineRule="auto"/>
        <w:jc w:val="both"/>
        <w:rPr>
          <w:rFonts w:ascii="Times New Roman" w:hAnsi="Times New Roman"/>
        </w:rPr>
      </w:pPr>
      <w:r>
        <w:rPr>
          <w:rFonts w:ascii="Times New Roman" w:hAnsi="Times New Roman"/>
        </w:rPr>
        <w:tab/>
      </w:r>
      <w:r w:rsidR="001060E2">
        <w:rPr>
          <w:rFonts w:ascii="Times New Roman" w:hAnsi="Times New Roman"/>
        </w:rPr>
        <w:t xml:space="preserve">Mineralna struktura  zubnih tkiva predstavlja složeni sistem čija stabilnost zavisi od hemijskog sastava i ravnoteže procesa rastvaranja i taloženja mineralnih jedinjenja. Osnovnu neorgansku komponentu zubne gleđi čini hidroksiapatit, kristalni kalcijum-fosfat koji joj obezbjeđuje karakterističnu tvrdoću i otpornost na mehaničke i hemijske uticaje. </w:t>
      </w:r>
      <w:r w:rsidR="001060E2" w:rsidRPr="001060E2">
        <w:rPr>
          <w:rFonts w:ascii="Times New Roman" w:hAnsi="Times New Roman"/>
        </w:rPr>
        <w:t>Pored hidroksiapatita, značajnu ulogu u procesima mineralizacije i demineralizacije zubnih tkiva imaju i drugi kalcijum-fosfati, čija svojstva zavise od hemijskog sastava i uslova sredine</w:t>
      </w:r>
      <w:r w:rsidR="00430833">
        <w:rPr>
          <w:rFonts w:ascii="Times New Roman" w:hAnsi="Times New Roman"/>
        </w:rPr>
        <w:t xml:space="preserve"> </w:t>
      </w:r>
      <w:r w:rsidR="00430833">
        <w:rPr>
          <w:rFonts w:ascii="Times New Roman" w:hAnsi="Times New Roman" w:cs="Times New Roman"/>
        </w:rPr>
        <w:t>[</w:t>
      </w:r>
      <w:r w:rsidR="001E2E3E">
        <w:rPr>
          <w:rFonts w:ascii="Times New Roman" w:hAnsi="Times New Roman"/>
        </w:rPr>
        <w:t>1</w:t>
      </w:r>
      <w:r w:rsidR="00863769">
        <w:rPr>
          <w:rFonts w:ascii="Times New Roman" w:hAnsi="Times New Roman" w:cs="Times New Roman"/>
        </w:rPr>
        <w:t>]</w:t>
      </w:r>
      <w:r w:rsidR="00430833">
        <w:rPr>
          <w:rFonts w:ascii="Times New Roman" w:hAnsi="Times New Roman"/>
        </w:rPr>
        <w:t>.</w:t>
      </w:r>
    </w:p>
    <w:p w:rsidR="00863769" w:rsidRPr="00863769" w:rsidRDefault="00EC2BB5" w:rsidP="00366216">
      <w:pPr>
        <w:spacing w:after="120" w:line="360" w:lineRule="auto"/>
        <w:jc w:val="both"/>
        <w:rPr>
          <w:rFonts w:ascii="Times New Roman" w:hAnsi="Times New Roman"/>
        </w:rPr>
      </w:pPr>
      <w:r>
        <w:rPr>
          <w:rFonts w:ascii="Times New Roman" w:hAnsi="Times New Roman"/>
        </w:rPr>
        <w:tab/>
      </w:r>
      <w:r w:rsidR="00863769">
        <w:rPr>
          <w:rFonts w:ascii="Times New Roman" w:hAnsi="Times New Roman"/>
        </w:rPr>
        <w:t xml:space="preserve">Da bi se razumjela stabilnost ovih mineralnih jedinjenja neophodno je razmotriti njihovu rastvorljivost. Rastvorljivost </w:t>
      </w:r>
      <w:r w:rsidR="00863769" w:rsidRPr="00863769">
        <w:rPr>
          <w:rFonts w:ascii="Times New Roman" w:hAnsi="Times New Roman"/>
        </w:rPr>
        <w:t>zavisi od niza fizičko-hemijskih uslova, među kojima se posebno izdvajaju pH vrijednost i koncentracija jona u rastvoru. Promjene ovih parametara mogu pomjeriti hemijsku ravnotežu između čvrste mineralne faze i rastvorenih jona, čime se podstiču procesi rastvaranja ili ponovnog for</w:t>
      </w:r>
      <w:r w:rsidR="001E2E3E">
        <w:rPr>
          <w:rFonts w:ascii="Times New Roman" w:hAnsi="Times New Roman"/>
        </w:rPr>
        <w:t>miranja mineralne strukture [1,2</w:t>
      </w:r>
      <w:r w:rsidR="00863769" w:rsidRPr="00863769">
        <w:rPr>
          <w:rFonts w:ascii="Times New Roman" w:hAnsi="Times New Roman"/>
        </w:rPr>
        <w:t>].</w:t>
      </w:r>
    </w:p>
    <w:p w:rsidR="00863769" w:rsidRDefault="00EC2BB5" w:rsidP="00366216">
      <w:pPr>
        <w:spacing w:after="120" w:line="360" w:lineRule="auto"/>
        <w:jc w:val="both"/>
        <w:rPr>
          <w:rFonts w:ascii="Times New Roman" w:hAnsi="Times New Roman"/>
        </w:rPr>
      </w:pPr>
      <w:r>
        <w:rPr>
          <w:rFonts w:ascii="Times New Roman" w:hAnsi="Times New Roman"/>
        </w:rPr>
        <w:tab/>
      </w:r>
      <w:r w:rsidR="00863769" w:rsidRPr="00863769">
        <w:rPr>
          <w:rFonts w:ascii="Times New Roman" w:hAnsi="Times New Roman"/>
        </w:rPr>
        <w:t>Razumijevanje rastvorljivosti hidroksiapatita i drugih kalcijum-fosfata ima poseban značaj u stomatologiji, jer su ovi procesi neposredno povezani sa očuvanjem mineralnog integriteta zubnih tkiva. Ispitivanje faktora koji utiču na njihovu rastvorljivost omogućava bolje razumijevanje mehanizama demineralizacije i remineralizacije, kao i hemijskih procesa koji učestvuju u nastanku karijesa i dentalne erozije. U skladu sa tim, cilj ovog rada je da se analizira rastvorljivost hidroksiapatita i drugih kalcijum-fosfata u vodenim sredinama, uz razmatranje najvažnijih faktora koji određuju njihovu hemijsku stabilnost i značaj ovih procesa u stomatološkoj praksi</w:t>
      </w:r>
      <w:r w:rsidR="00155ABE">
        <w:rPr>
          <w:rFonts w:ascii="Times New Roman" w:hAnsi="Times New Roman"/>
        </w:rPr>
        <w:t>.</w:t>
      </w:r>
    </w:p>
    <w:p w:rsidR="005E0A31" w:rsidRDefault="005E0A31">
      <w:pPr>
        <w:spacing w:line="360" w:lineRule="auto"/>
        <w:rPr>
          <w:rFonts w:ascii="Times New Roman" w:hAnsi="Times New Roman"/>
        </w:rPr>
      </w:pPr>
    </w:p>
    <w:p w:rsidR="005E0A31" w:rsidRDefault="005E0A31">
      <w:pPr>
        <w:spacing w:line="360" w:lineRule="auto"/>
        <w:rPr>
          <w:rFonts w:ascii="Times New Roman" w:hAnsi="Times New Roman"/>
        </w:rPr>
      </w:pPr>
    </w:p>
    <w:p w:rsidR="005E0A31" w:rsidRDefault="005E0A31">
      <w:pPr>
        <w:spacing w:line="360" w:lineRule="auto"/>
        <w:rPr>
          <w:rFonts w:ascii="Times New Roman" w:hAnsi="Times New Roman"/>
        </w:rPr>
      </w:pPr>
    </w:p>
    <w:p w:rsidR="005E0A31" w:rsidRDefault="005E0A31">
      <w:pPr>
        <w:spacing w:line="360" w:lineRule="auto"/>
        <w:rPr>
          <w:rFonts w:ascii="Times New Roman" w:hAnsi="Times New Roman"/>
        </w:rPr>
      </w:pPr>
    </w:p>
    <w:p w:rsidR="005E0A31" w:rsidRDefault="005E0A31">
      <w:pPr>
        <w:spacing w:line="360" w:lineRule="auto"/>
        <w:rPr>
          <w:rFonts w:ascii="Times New Roman" w:hAnsi="Times New Roman"/>
          <w:b/>
          <w:bCs/>
          <w:sz w:val="28"/>
          <w:szCs w:val="28"/>
        </w:rPr>
      </w:pPr>
      <w:bookmarkStart w:id="2" w:name="__RefHeading___Toc865_3284994541"/>
      <w:bookmarkEnd w:id="2"/>
    </w:p>
    <w:p w:rsidR="005E0A31" w:rsidRDefault="005E0A31">
      <w:pPr>
        <w:spacing w:line="360" w:lineRule="auto"/>
        <w:rPr>
          <w:rFonts w:ascii="Times New Roman" w:hAnsi="Times New Roman"/>
          <w:b/>
          <w:bCs/>
          <w:sz w:val="28"/>
          <w:szCs w:val="28"/>
        </w:rPr>
      </w:pPr>
    </w:p>
    <w:p w:rsidR="00EC2BB5" w:rsidRDefault="00EC2BB5">
      <w:pPr>
        <w:rPr>
          <w:rFonts w:ascii="Times New Roman" w:eastAsia="Noto Sans CJK SC" w:hAnsi="Times New Roman"/>
          <w:b/>
          <w:sz w:val="32"/>
          <w:szCs w:val="28"/>
        </w:rPr>
      </w:pPr>
      <w:r>
        <w:rPr>
          <w:sz w:val="32"/>
        </w:rPr>
        <w:br w:type="page"/>
      </w:r>
    </w:p>
    <w:p w:rsidR="00366216" w:rsidRPr="00366216" w:rsidRDefault="00EC2BB5" w:rsidP="00366216">
      <w:pPr>
        <w:pStyle w:val="Heading1"/>
      </w:pPr>
      <w:bookmarkStart w:id="3" w:name="_Toc244025618"/>
      <w:r>
        <w:lastRenderedPageBreak/>
        <w:t xml:space="preserve">2. </w:t>
      </w:r>
      <w:r w:rsidRPr="00EC2BB5">
        <w:t>HIDROKSIAPATIT</w:t>
      </w:r>
      <w:r w:rsidR="001976F8" w:rsidRPr="00EC2BB5">
        <w:t xml:space="preserve"> </w:t>
      </w:r>
      <w:r w:rsidRPr="00EC2BB5">
        <w:t>KAO OSNOVNA MINERALNA KOMPONENTA</w:t>
      </w:r>
      <w:r w:rsidR="001976F8" w:rsidRPr="00EC2BB5">
        <w:t xml:space="preserve"> </w:t>
      </w:r>
      <w:r w:rsidRPr="00EC2BB5">
        <w:t>ZUBNIH TKIVA</w:t>
      </w:r>
      <w:bookmarkEnd w:id="3"/>
    </w:p>
    <w:p w:rsidR="001976F8" w:rsidRDefault="001976F8" w:rsidP="00366216">
      <w:pPr>
        <w:pStyle w:val="Heading2"/>
      </w:pPr>
      <w:bookmarkStart w:id="4" w:name="_Toc244025619"/>
      <w:r>
        <w:t xml:space="preserve">2.1. Hemijski sastav i struktura </w:t>
      </w:r>
      <w:r w:rsidR="00F56E16">
        <w:t>hidroksiapatita</w:t>
      </w:r>
      <w:bookmarkEnd w:id="4"/>
    </w:p>
    <w:p w:rsidR="00A47394" w:rsidRDefault="00422F16" w:rsidP="00366216">
      <w:pPr>
        <w:spacing w:after="120" w:line="360" w:lineRule="auto"/>
        <w:jc w:val="both"/>
        <w:rPr>
          <w:rFonts w:ascii="Times New Roman" w:hAnsi="Times New Roman"/>
          <w:bCs/>
        </w:rPr>
      </w:pPr>
      <w:r>
        <w:rPr>
          <w:rFonts w:ascii="Times New Roman" w:hAnsi="Times New Roman"/>
          <w:bCs/>
          <w:noProof/>
          <w:lang w:val="en-GB" w:eastAsia="en-GB" w:bidi="ar-SA"/>
        </w:rPr>
        <w:drawing>
          <wp:anchor distT="0" distB="0" distL="114300" distR="114300" simplePos="0" relativeHeight="251660288" behindDoc="0" locked="0" layoutInCell="1" allowOverlap="1">
            <wp:simplePos x="0" y="0"/>
            <wp:positionH relativeFrom="margin">
              <wp:align>center</wp:align>
            </wp:positionH>
            <wp:positionV relativeFrom="paragraph">
              <wp:posOffset>2287270</wp:posOffset>
            </wp:positionV>
            <wp:extent cx="2505710" cy="1926590"/>
            <wp:effectExtent l="0" t="0" r="889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05710" cy="1926590"/>
                    </a:xfrm>
                    <a:prstGeom prst="rect">
                      <a:avLst/>
                    </a:prstGeom>
                    <a:noFill/>
                  </pic:spPr>
                </pic:pic>
              </a:graphicData>
            </a:graphic>
          </wp:anchor>
        </w:drawing>
      </w:r>
      <w:r w:rsidR="00EC2BB5">
        <w:rPr>
          <w:rFonts w:ascii="Times New Roman" w:hAnsi="Times New Roman"/>
          <w:bCs/>
        </w:rPr>
        <w:tab/>
      </w:r>
      <w:r w:rsidR="00F56E16">
        <w:rPr>
          <w:rFonts w:ascii="Times New Roman" w:hAnsi="Times New Roman"/>
          <w:bCs/>
        </w:rPr>
        <w:t>Hidroksiapatit predstavlja kristalno jedinjenje</w:t>
      </w:r>
      <w:r w:rsidR="00F56E16" w:rsidRPr="00F56E16">
        <w:rPr>
          <w:rFonts w:ascii="Times New Roman" w:hAnsi="Times New Roman"/>
          <w:bCs/>
        </w:rPr>
        <w:t xml:space="preserve"> iz grupe kalcijum-fosfata i osnovni je mineralni sastojak tvrdih zubnih tkiva. Njegova stehiometrijska hemijsk</w:t>
      </w:r>
      <w:r w:rsidR="00B30282">
        <w:rPr>
          <w:rFonts w:ascii="Times New Roman" w:hAnsi="Times New Roman"/>
          <w:bCs/>
        </w:rPr>
        <w:t xml:space="preserve">a formula je Ca₁₀(PO₄)₆(OH)₂, </w:t>
      </w:r>
      <w:r w:rsidR="00F56E16" w:rsidRPr="00F56E16">
        <w:rPr>
          <w:rFonts w:ascii="Times New Roman" w:hAnsi="Times New Roman"/>
          <w:bCs/>
        </w:rPr>
        <w:t>kristalnu strukturu čine kalcijumovi joni, fosfatne grupe i hidroksilni joni. Međutim, mineralna faza prirodnih zubnih tkiva ne odgovara u potpunosti idealnom stehiometrijskom hidroksiapatitu, već se odlikuje karakteristikama biološkog apatita. U njegovoj strukturi mogu se javiti jonske supstitucije, naročito ugradnja karbonatnih, magnezijumovih, natrijumovih i fluoridnih jona, koje utiču na kristalografska svojstva, kristaliničnost i hemijsku stabilnost mine</w:t>
      </w:r>
      <w:r w:rsidR="00D025B8">
        <w:rPr>
          <w:rFonts w:ascii="Times New Roman" w:hAnsi="Times New Roman"/>
          <w:bCs/>
        </w:rPr>
        <w:t xml:space="preserve">rala </w:t>
      </w:r>
      <w:r w:rsidR="004958A9">
        <w:rPr>
          <w:rFonts w:ascii="Times New Roman" w:hAnsi="Times New Roman"/>
          <w:bCs/>
        </w:rPr>
        <w:t>[2,3</w:t>
      </w:r>
      <w:r w:rsidR="00F56E16" w:rsidRPr="00F56E16">
        <w:rPr>
          <w:rFonts w:ascii="Times New Roman" w:hAnsi="Times New Roman"/>
          <w:bCs/>
        </w:rPr>
        <w:t>].</w:t>
      </w:r>
      <w:r w:rsidR="00A47394">
        <w:rPr>
          <w:rFonts w:ascii="Times New Roman" w:hAnsi="Times New Roman"/>
          <w:bCs/>
        </w:rPr>
        <w:t xml:space="preserve"> </w:t>
      </w:r>
      <w:r w:rsidR="00A47394" w:rsidRPr="00A47394">
        <w:rPr>
          <w:rFonts w:ascii="Times New Roman" w:hAnsi="Times New Roman"/>
          <w:bCs/>
        </w:rPr>
        <w:t>Raspored ovih jona u kristalnoj rešetki prikazan je na slici 1.</w:t>
      </w:r>
    </w:p>
    <w:p w:rsidR="00A47394" w:rsidRDefault="00A47394" w:rsidP="00366216">
      <w:pPr>
        <w:spacing w:after="120" w:line="360" w:lineRule="auto"/>
        <w:jc w:val="both"/>
        <w:rPr>
          <w:rFonts w:ascii="Times New Roman" w:hAnsi="Times New Roman"/>
          <w:bCs/>
        </w:rPr>
      </w:pPr>
    </w:p>
    <w:p w:rsidR="00F701EF" w:rsidRPr="00F701EF" w:rsidRDefault="00F701EF" w:rsidP="00422F16">
      <w:pPr>
        <w:spacing w:after="120" w:line="360" w:lineRule="auto"/>
        <w:jc w:val="center"/>
        <w:rPr>
          <w:rFonts w:ascii="Times New Roman" w:hAnsi="Times New Roman"/>
          <w:bCs/>
          <w:i/>
        </w:rPr>
      </w:pPr>
      <w:r w:rsidRPr="00F701EF">
        <w:rPr>
          <w:rFonts w:ascii="Times New Roman" w:hAnsi="Times New Roman"/>
          <w:bCs/>
          <w:i/>
        </w:rPr>
        <w:t xml:space="preserve">Slika 1. </w:t>
      </w:r>
      <w:r w:rsidR="00FC50AD">
        <w:rPr>
          <w:rFonts w:ascii="Times New Roman" w:hAnsi="Times New Roman"/>
          <w:bCs/>
          <w:i/>
        </w:rPr>
        <w:t xml:space="preserve">Kristalna struktura hudroksiapatita. </w:t>
      </w:r>
      <w:r w:rsidRPr="00F701EF">
        <w:rPr>
          <w:rFonts w:ascii="Times New Roman" w:hAnsi="Times New Roman"/>
          <w:bCs/>
          <w:i/>
        </w:rPr>
        <w:t>Kumar, R. i Mohanty, S. (2022). Hydroxyapatite: A Versatile Bioceramic for</w:t>
      </w:r>
      <w:r w:rsidR="00FC50AD">
        <w:rPr>
          <w:rFonts w:ascii="Times New Roman" w:hAnsi="Times New Roman"/>
          <w:bCs/>
          <w:i/>
        </w:rPr>
        <w:t xml:space="preserve"> Tissue Engineering Application</w:t>
      </w:r>
      <w:r w:rsidR="00FC50AD">
        <w:rPr>
          <w:rFonts w:ascii="Times New Roman" w:hAnsi="Times New Roman" w:cs="Times New Roman"/>
          <w:bCs/>
          <w:i/>
        </w:rPr>
        <w:t>[</w:t>
      </w:r>
      <w:r w:rsidR="00FC50AD">
        <w:rPr>
          <w:rFonts w:ascii="Times New Roman" w:hAnsi="Times New Roman"/>
          <w:bCs/>
          <w:i/>
        </w:rPr>
        <w:t>7</w:t>
      </w:r>
      <w:r w:rsidR="00FC50AD">
        <w:rPr>
          <w:rFonts w:ascii="Times New Roman" w:hAnsi="Times New Roman" w:cs="Times New Roman"/>
          <w:bCs/>
          <w:i/>
        </w:rPr>
        <w:t>]</w:t>
      </w:r>
      <w:r w:rsidR="00FC50AD">
        <w:rPr>
          <w:rFonts w:ascii="Times New Roman" w:hAnsi="Times New Roman"/>
          <w:bCs/>
          <w:i/>
        </w:rPr>
        <w:t>.</w:t>
      </w:r>
    </w:p>
    <w:p w:rsidR="00A47394" w:rsidRPr="00F56E16" w:rsidRDefault="00422F16" w:rsidP="00366216">
      <w:pPr>
        <w:spacing w:after="120" w:line="360" w:lineRule="auto"/>
        <w:jc w:val="both"/>
        <w:rPr>
          <w:rFonts w:ascii="Times New Roman" w:hAnsi="Times New Roman"/>
          <w:bCs/>
        </w:rPr>
      </w:pPr>
      <w:r>
        <w:rPr>
          <w:rFonts w:ascii="Times New Roman" w:hAnsi="Times New Roman"/>
          <w:bCs/>
        </w:rPr>
        <w:tab/>
      </w:r>
      <w:r w:rsidR="00A47394" w:rsidRPr="00A47394">
        <w:rPr>
          <w:rFonts w:ascii="Times New Roman" w:hAnsi="Times New Roman"/>
          <w:bCs/>
        </w:rPr>
        <w:t>Njihova organizacija doprinosi stabilnosti mineralne strukture, dok promjene u sastavu kristala mogu uticati na njegova svojstva i ponašanje u vodenoj sredini, uključujući rastvorljivost.</w:t>
      </w:r>
      <w:r w:rsidR="00A47394" w:rsidRPr="00A47394">
        <w:rPr>
          <w:noProof/>
          <w:lang w:val="en-GB" w:eastAsia="en-GB" w:bidi="ar-SA"/>
        </w:rPr>
        <w:t xml:space="preserve"> </w:t>
      </w:r>
    </w:p>
    <w:p w:rsidR="00B30282" w:rsidRPr="00F56E16" w:rsidRDefault="00EC2BB5" w:rsidP="00366216">
      <w:pPr>
        <w:spacing w:after="120" w:line="360" w:lineRule="auto"/>
        <w:jc w:val="both"/>
        <w:rPr>
          <w:rFonts w:ascii="Times New Roman" w:hAnsi="Times New Roman"/>
          <w:bCs/>
        </w:rPr>
      </w:pPr>
      <w:r>
        <w:rPr>
          <w:rFonts w:ascii="Times New Roman" w:hAnsi="Times New Roman"/>
          <w:bCs/>
        </w:rPr>
        <w:tab/>
      </w:r>
      <w:r w:rsidR="00F56E16" w:rsidRPr="00F56E16">
        <w:rPr>
          <w:rFonts w:ascii="Times New Roman" w:hAnsi="Times New Roman"/>
          <w:bCs/>
        </w:rPr>
        <w:t xml:space="preserve">Morfologija i raspored kristala apatita razlikuju se između gleđi i dentina, što je neposredno povezano sa njihovim različitim sastavom i funkcionalnim svojstvima. </w:t>
      </w:r>
      <w:r w:rsidR="00AC540A" w:rsidRPr="00AC540A">
        <w:rPr>
          <w:rFonts w:ascii="Times New Roman" w:hAnsi="Times New Roman"/>
          <w:bCs/>
        </w:rPr>
        <w:t>Gleđ i dentin razlikuju se po stepenu mineralizacije i organizaciji tkiva. Gleđ je izrazito mineralizovana, dok dentin sadrži veći udio organskog matriksa, pretežno kolagena tipa I, kao i vode. Ove razlike doprinose njihovim različitim mehaničkim svojstvima i ponašanju pri djelovanju hemijskih agenasa [3].</w:t>
      </w:r>
    </w:p>
    <w:p w:rsidR="00B30282" w:rsidRPr="00EC2BB5" w:rsidRDefault="00B30282" w:rsidP="00366216">
      <w:pPr>
        <w:pStyle w:val="Heading2"/>
      </w:pPr>
      <w:bookmarkStart w:id="5" w:name="_Toc244025620"/>
      <w:r w:rsidRPr="00EC2BB5">
        <w:t>2.2. Značaj hidroksiapatita za osobine zubne gleđi i dentina</w:t>
      </w:r>
      <w:bookmarkEnd w:id="5"/>
    </w:p>
    <w:p w:rsidR="00B30282" w:rsidRPr="00EC2BB5" w:rsidRDefault="00EC2BB5" w:rsidP="00366216">
      <w:pPr>
        <w:spacing w:after="120" w:line="360" w:lineRule="auto"/>
        <w:jc w:val="both"/>
        <w:rPr>
          <w:rFonts w:ascii="Times New Roman" w:hAnsi="Times New Roman"/>
          <w:bCs/>
        </w:rPr>
      </w:pPr>
      <w:r>
        <w:rPr>
          <w:rFonts w:ascii="Times New Roman" w:hAnsi="Times New Roman"/>
          <w:bCs/>
        </w:rPr>
        <w:tab/>
      </w:r>
      <w:r w:rsidR="00B30282" w:rsidRPr="00EC2BB5">
        <w:rPr>
          <w:rFonts w:ascii="Times New Roman" w:hAnsi="Times New Roman"/>
          <w:bCs/>
        </w:rPr>
        <w:t xml:space="preserve">Mineralni sastav i strukturna organizacija hidroksiapatita predstavljaju ključne determinante fizičkih, mehaničkih i hemijskih svojstava tvrdih zubnih tkiva. Zubna gleđ sadrži približno 96% </w:t>
      </w:r>
      <w:r w:rsidR="00B30282" w:rsidRPr="00EC2BB5">
        <w:rPr>
          <w:rFonts w:ascii="Times New Roman" w:hAnsi="Times New Roman"/>
          <w:bCs/>
        </w:rPr>
        <w:lastRenderedPageBreak/>
        <w:t>neorganske materije po masi, dok dentin sadrži oko 70% mineralne, 20% organske materije i 10% vode. Visok stepen mineralizacije gleđi uslovljava njenu izuzetnu tvrdoću i sposobnost da izdrži ponavljana opterećenja tokom mastikacije. Dentin, zahvaljujući manjem udjelu mineralne faze i prisustvu kolagenskog matriksa, pokazuje veću žilavost i deformabilnost, čime doprinosi apsorpciji i raspodjeli sila i smanjuje rizik od oštećenja zubne strukture [</w:t>
      </w:r>
      <w:r w:rsidR="001E2E3E" w:rsidRPr="00EC2BB5">
        <w:rPr>
          <w:rFonts w:ascii="Times New Roman" w:hAnsi="Times New Roman"/>
          <w:bCs/>
        </w:rPr>
        <w:t>3</w:t>
      </w:r>
      <w:r w:rsidR="00B30282" w:rsidRPr="00EC2BB5">
        <w:rPr>
          <w:rFonts w:ascii="Times New Roman" w:hAnsi="Times New Roman"/>
          <w:bCs/>
        </w:rPr>
        <w:t>].</w:t>
      </w:r>
    </w:p>
    <w:p w:rsidR="00DE2BF2" w:rsidRPr="00DE2BF2" w:rsidRDefault="00EC2BB5" w:rsidP="00DE2BF2">
      <w:pPr>
        <w:spacing w:after="120" w:line="360" w:lineRule="auto"/>
        <w:jc w:val="both"/>
        <w:rPr>
          <w:rFonts w:ascii="Times New Roman" w:hAnsi="Times New Roman"/>
          <w:bCs/>
        </w:rPr>
      </w:pPr>
      <w:r>
        <w:rPr>
          <w:rFonts w:ascii="Times New Roman" w:hAnsi="Times New Roman"/>
          <w:bCs/>
        </w:rPr>
        <w:tab/>
      </w:r>
      <w:r>
        <w:rPr>
          <w:rFonts w:ascii="Times New Roman" w:hAnsi="Times New Roman"/>
          <w:bCs/>
        </w:rPr>
        <w:tab/>
      </w:r>
      <w:r w:rsidR="00DE2BF2" w:rsidRPr="00DE2BF2">
        <w:rPr>
          <w:rFonts w:ascii="Times New Roman" w:hAnsi="Times New Roman"/>
          <w:bCs/>
        </w:rPr>
        <w:t xml:space="preserve">Pored strukturne uloge, mineralna </w:t>
      </w:r>
      <w:r w:rsidR="00DE2BF2">
        <w:rPr>
          <w:rFonts w:ascii="Times New Roman" w:hAnsi="Times New Roman"/>
          <w:bCs/>
        </w:rPr>
        <w:t xml:space="preserve">faza </w:t>
      </w:r>
      <w:r w:rsidR="00DE2BF2" w:rsidRPr="00DE2BF2">
        <w:rPr>
          <w:rFonts w:ascii="Times New Roman" w:hAnsi="Times New Roman"/>
          <w:bCs/>
        </w:rPr>
        <w:t>zuba je hemijski aktivna: u kontaktu sa pljuvačkom i drugim vodenim sredinama može gubiti ili ponovo primati jone, zavisno od sastava rastvora i uslova ravnoteže</w:t>
      </w:r>
      <w:r w:rsidR="00DE2BF2">
        <w:rPr>
          <w:rFonts w:ascii="Times New Roman" w:hAnsi="Times New Roman"/>
          <w:bCs/>
        </w:rPr>
        <w:t xml:space="preserve">. </w:t>
      </w:r>
      <w:r w:rsidR="00DE2BF2" w:rsidRPr="00DE2BF2">
        <w:rPr>
          <w:rFonts w:ascii="Times New Roman" w:hAnsi="Times New Roman"/>
          <w:bCs/>
        </w:rPr>
        <w:t>Zato se hidroksiapatit ne posmatra samo kao čvrsta komponenta zuba, već i kao mineralna faza čija se stabilnost mijenja u zavisnosti od sredine. Ova osobina predstavlja osnovu hemijskog objašnjenja demineralizacije i remineralizacije, koje se detaljnije razmatraju u narednim poglavljima [1,3].</w:t>
      </w:r>
    </w:p>
    <w:p w:rsidR="00B30282" w:rsidRPr="00EC2BB5" w:rsidRDefault="00B30282" w:rsidP="00DE2BF2">
      <w:pPr>
        <w:spacing w:after="120" w:line="360" w:lineRule="auto"/>
        <w:jc w:val="both"/>
        <w:rPr>
          <w:rFonts w:ascii="Times New Roman" w:hAnsi="Times New Roman"/>
          <w:bCs/>
        </w:rPr>
      </w:pPr>
    </w:p>
    <w:p w:rsidR="00D8528F" w:rsidRDefault="00EC2BB5" w:rsidP="00EC2BB5">
      <w:pPr>
        <w:rPr>
          <w:rFonts w:ascii="Times New Roman" w:hAnsi="Times New Roman"/>
          <w:bCs/>
        </w:rPr>
      </w:pPr>
      <w:r>
        <w:rPr>
          <w:rFonts w:ascii="Times New Roman" w:hAnsi="Times New Roman"/>
          <w:bCs/>
        </w:rPr>
        <w:br w:type="page"/>
      </w:r>
    </w:p>
    <w:p w:rsidR="008224E3" w:rsidRPr="00366216" w:rsidRDefault="008224E3" w:rsidP="00366216">
      <w:pPr>
        <w:pStyle w:val="Heading1"/>
      </w:pPr>
      <w:bookmarkStart w:id="6" w:name="_Toc244025621"/>
      <w:r w:rsidRPr="00EC2BB5">
        <w:lastRenderedPageBreak/>
        <w:t xml:space="preserve">3. </w:t>
      </w:r>
      <w:r w:rsidR="00EC2BB5" w:rsidRPr="00EC2BB5">
        <w:t>HEMIJSKA OSNOVA RASTVORLJIVOSTI HIDROKSIAPATITA</w:t>
      </w:r>
      <w:bookmarkEnd w:id="6"/>
    </w:p>
    <w:p w:rsidR="008224E3" w:rsidRPr="00EC2BB5" w:rsidRDefault="008224E3" w:rsidP="00366216">
      <w:pPr>
        <w:pStyle w:val="Heading2"/>
      </w:pPr>
      <w:bookmarkStart w:id="7" w:name="_Toc244025622"/>
      <w:r w:rsidRPr="00EC2BB5">
        <w:t>3.1. Pojam rastvorljivosti i hemijske ravnoteže</w:t>
      </w:r>
      <w:bookmarkEnd w:id="7"/>
    </w:p>
    <w:p w:rsidR="008224E3" w:rsidRPr="008224E3" w:rsidRDefault="00EC2BB5" w:rsidP="00366216">
      <w:pPr>
        <w:spacing w:after="120" w:line="360" w:lineRule="auto"/>
        <w:jc w:val="both"/>
        <w:rPr>
          <w:rFonts w:ascii="Times New Roman" w:hAnsi="Times New Roman"/>
          <w:bCs/>
        </w:rPr>
      </w:pPr>
      <w:r>
        <w:rPr>
          <w:rFonts w:ascii="Times New Roman" w:hAnsi="Times New Roman"/>
          <w:bCs/>
        </w:rPr>
        <w:tab/>
      </w:r>
      <w:r w:rsidR="008224E3" w:rsidRPr="008224E3">
        <w:rPr>
          <w:rFonts w:ascii="Times New Roman" w:hAnsi="Times New Roman"/>
          <w:bCs/>
        </w:rPr>
        <w:t>Rastvorljivost predstavlja sposobnost supstance da prelazi u rastvor, pri čemu se, u određenim uslovima, uspostavlja ravnoteža između čvrste faze i rastvorenih jona. Pri kontaktu hidroksiapatita sa vodenom sredinom dolazi do razmjene jona između kristalne rešetke i rastvora. Kada se brzine rastvaranja i taloženja izjednače, uspostavlja se dinamička ravnoteža</w:t>
      </w:r>
      <w:r w:rsidR="00AD78A2">
        <w:rPr>
          <w:rFonts w:ascii="Times New Roman" w:hAnsi="Times New Roman"/>
          <w:bCs/>
        </w:rPr>
        <w:t>,</w:t>
      </w:r>
      <w:r w:rsidR="00AD78A2" w:rsidRPr="00AD78A2">
        <w:t xml:space="preserve"> </w:t>
      </w:r>
      <w:r w:rsidR="00AD78A2" w:rsidRPr="00AD78A2">
        <w:rPr>
          <w:rFonts w:ascii="Times New Roman" w:hAnsi="Times New Roman"/>
          <w:bCs/>
        </w:rPr>
        <w:t>brzine rastvaranja i povratnog taloženja jednake su, pa nema neto promjene količine čvrste faze.</w:t>
      </w:r>
      <w:r w:rsidR="008224E3" w:rsidRPr="008224E3">
        <w:rPr>
          <w:rFonts w:ascii="Times New Roman" w:hAnsi="Times New Roman"/>
          <w:bCs/>
        </w:rPr>
        <w:t xml:space="preserve"> Važno je razlikovati rastvorljivost, koja predstavlja ravnotežno svojstvo, od brzine rastvaranja, koja opisuje koliko se brzo proces odvija</w:t>
      </w:r>
      <w:r w:rsidR="008224E3">
        <w:rPr>
          <w:rFonts w:ascii="Times New Roman" w:hAnsi="Times New Roman"/>
          <w:bCs/>
        </w:rPr>
        <w:t xml:space="preserve"> [</w:t>
      </w:r>
      <w:r w:rsidR="003172E2">
        <w:rPr>
          <w:rFonts w:ascii="Times New Roman" w:hAnsi="Times New Roman"/>
          <w:bCs/>
        </w:rPr>
        <w:t>4</w:t>
      </w:r>
      <w:r w:rsidR="008224E3" w:rsidRPr="008224E3">
        <w:rPr>
          <w:rFonts w:ascii="Times New Roman" w:hAnsi="Times New Roman"/>
          <w:bCs/>
        </w:rPr>
        <w:t>].</w:t>
      </w:r>
    </w:p>
    <w:p w:rsidR="008224E3" w:rsidRPr="00EC2BB5" w:rsidRDefault="008224E3" w:rsidP="00366216">
      <w:pPr>
        <w:pStyle w:val="Heading2"/>
      </w:pPr>
      <w:bookmarkStart w:id="8" w:name="_Toc244025623"/>
      <w:r w:rsidRPr="00EC2BB5">
        <w:t>3.2. Reakcija rastvaranja hidroksiapatita</w:t>
      </w:r>
      <w:bookmarkEnd w:id="8"/>
    </w:p>
    <w:p w:rsidR="008224E3" w:rsidRPr="00EC2BB5" w:rsidRDefault="00EC2BB5" w:rsidP="00366216">
      <w:pPr>
        <w:spacing w:after="120" w:line="360" w:lineRule="auto"/>
        <w:jc w:val="both"/>
        <w:rPr>
          <w:rFonts w:ascii="Times New Roman" w:hAnsi="Times New Roman" w:cs="Times New Roman"/>
          <w:bCs/>
        </w:rPr>
      </w:pPr>
      <w:r>
        <w:rPr>
          <w:rFonts w:ascii="Times New Roman" w:hAnsi="Times New Roman"/>
          <w:bCs/>
        </w:rPr>
        <w:tab/>
      </w:r>
      <w:r w:rsidR="008224E3" w:rsidRPr="00EC2BB5">
        <w:rPr>
          <w:rFonts w:ascii="Times New Roman" w:hAnsi="Times New Roman" w:cs="Times New Roman"/>
          <w:bCs/>
        </w:rPr>
        <w:t>Rastvaranje hidroksiapatita može se prikazati sljedećom jednačinom:</w:t>
      </w:r>
    </w:p>
    <w:p w:rsidR="008224E3" w:rsidRPr="00EC2BB5" w:rsidRDefault="008224E3" w:rsidP="00366216">
      <w:pPr>
        <w:spacing w:after="120" w:line="360" w:lineRule="auto"/>
        <w:jc w:val="both"/>
        <w:rPr>
          <w:rFonts w:ascii="Times New Roman" w:hAnsi="Times New Roman" w:cs="Times New Roman"/>
          <w:bCs/>
        </w:rPr>
      </w:pPr>
      <w:r w:rsidRPr="00EC2BB5">
        <w:rPr>
          <w:rFonts w:ascii="Times New Roman" w:hAnsi="Times New Roman" w:cs="Times New Roman"/>
          <w:bCs/>
        </w:rPr>
        <w:t xml:space="preserve">Ca₁₀(PO₄)₆(OH)₂(s) </w:t>
      </w:r>
      <w:r w:rsidRPr="00EC2BB5">
        <w:rPr>
          <w:rFonts w:ascii="Cambria Math" w:hAnsi="Cambria Math" w:cs="Cambria Math"/>
          <w:bCs/>
        </w:rPr>
        <w:t>⇌</w:t>
      </w:r>
      <w:r w:rsidRPr="00EC2BB5">
        <w:rPr>
          <w:rFonts w:ascii="Times New Roman" w:hAnsi="Times New Roman" w:cs="Times New Roman"/>
          <w:bCs/>
        </w:rPr>
        <w:t xml:space="preserve"> 10Ca²⁺(aq) + 6PO₄³⁻(aq) + 2OH⁻(aq)</w:t>
      </w:r>
    </w:p>
    <w:p w:rsidR="008224E3" w:rsidRPr="00366216" w:rsidRDefault="00AD78A2" w:rsidP="00366216">
      <w:pPr>
        <w:spacing w:after="120" w:line="360" w:lineRule="auto"/>
        <w:jc w:val="both"/>
        <w:rPr>
          <w:rFonts w:ascii="Times New Roman" w:hAnsi="Times New Roman" w:cs="Times New Roman"/>
          <w:bCs/>
        </w:rPr>
      </w:pPr>
      <w:r w:rsidRPr="00AD78A2">
        <w:rPr>
          <w:rFonts w:ascii="Times New Roman" w:hAnsi="Times New Roman" w:cs="Times New Roman"/>
          <w:bCs/>
        </w:rPr>
        <w:t>U vodenim rastvorima fosfat se ne nalazi samo kao PO₄³⁻, već se, u zavisnosti od pH vrijednosti, javlja i u protonovanim oblicima, prvenstveno HPO₄²⁻ i H₂PO₄⁻. U kiseloj sredini vodonikovi joni reaguju sa fosfatnim i hidroksidnim jonima, smanjujući njihove aktivnosti i podstičući dalje rastvaranje mineralne faze. Zbog toga snižavanje pH može povećati gu</w:t>
      </w:r>
      <w:r w:rsidR="009621CF">
        <w:rPr>
          <w:rFonts w:ascii="Times New Roman" w:hAnsi="Times New Roman" w:cs="Times New Roman"/>
          <w:bCs/>
        </w:rPr>
        <w:t xml:space="preserve">bitak mineralnih sastojaka zuba </w:t>
      </w:r>
      <w:r w:rsidR="00D025B8" w:rsidRPr="00EC2BB5">
        <w:rPr>
          <w:rFonts w:ascii="Times New Roman" w:hAnsi="Times New Roman" w:cs="Times New Roman"/>
          <w:bCs/>
        </w:rPr>
        <w:t>[</w:t>
      </w:r>
      <w:r>
        <w:rPr>
          <w:rFonts w:ascii="Times New Roman" w:hAnsi="Times New Roman" w:cs="Times New Roman"/>
          <w:bCs/>
        </w:rPr>
        <w:t>4,</w:t>
      </w:r>
      <w:r w:rsidR="003172E2" w:rsidRPr="00EC2BB5">
        <w:rPr>
          <w:rFonts w:ascii="Times New Roman" w:hAnsi="Times New Roman" w:cs="Times New Roman"/>
          <w:bCs/>
        </w:rPr>
        <w:t>5</w:t>
      </w:r>
      <w:r w:rsidR="008224E3" w:rsidRPr="00EC2BB5">
        <w:rPr>
          <w:rFonts w:ascii="Times New Roman" w:hAnsi="Times New Roman" w:cs="Times New Roman"/>
          <w:bCs/>
        </w:rPr>
        <w:t>].</w:t>
      </w:r>
    </w:p>
    <w:p w:rsidR="008224E3" w:rsidRPr="00EC2BB5" w:rsidRDefault="008224E3" w:rsidP="00366216">
      <w:pPr>
        <w:pStyle w:val="Heading2"/>
      </w:pPr>
      <w:bookmarkStart w:id="9" w:name="_Toc244025624"/>
      <w:r w:rsidRPr="00EC2BB5">
        <w:t>3.3. Proizvod rastvorljivosti i stepen zasićenosti rastvora</w:t>
      </w:r>
      <w:bookmarkEnd w:id="9"/>
    </w:p>
    <w:p w:rsidR="00422F16" w:rsidRDefault="00EC2BB5" w:rsidP="00422F16">
      <w:pPr>
        <w:spacing w:after="120" w:line="360" w:lineRule="auto"/>
        <w:jc w:val="both"/>
        <w:rPr>
          <w:rFonts w:ascii="Times New Roman" w:hAnsi="Times New Roman"/>
          <w:bCs/>
        </w:rPr>
      </w:pPr>
      <w:r>
        <w:rPr>
          <w:rFonts w:ascii="Times New Roman" w:hAnsi="Times New Roman"/>
          <w:bCs/>
        </w:rPr>
        <w:tab/>
      </w:r>
      <w:r w:rsidR="008224E3" w:rsidRPr="008224E3">
        <w:rPr>
          <w:rFonts w:ascii="Times New Roman" w:hAnsi="Times New Roman"/>
          <w:bCs/>
        </w:rPr>
        <w:t>Proizvod rastvorljivosti (Ksp) predstavlja ravnotežnu konstantu koja opisuje rastvaranje slabo rastvorljivog jedinjenja. Za hidroksiapatit se izražava relacijom:</w:t>
      </w:r>
      <w:r w:rsidR="00422F16">
        <w:rPr>
          <w:rFonts w:ascii="Times New Roman" w:hAnsi="Times New Roman"/>
          <w:bCs/>
        </w:rPr>
        <w:t xml:space="preserve"> </w:t>
      </w:r>
      <w:r w:rsidR="008224E3" w:rsidRPr="008224E3">
        <w:rPr>
          <w:rFonts w:ascii="Times New Roman" w:hAnsi="Times New Roman"/>
          <w:bCs/>
        </w:rPr>
        <w:t>Ksp = a(Ca²⁺)¹⁰ · a(PO₄³⁻)⁶ · a(OH⁻)²</w:t>
      </w:r>
      <w:r w:rsidR="00422F16">
        <w:rPr>
          <w:rFonts w:ascii="Times New Roman" w:hAnsi="Times New Roman"/>
          <w:bCs/>
        </w:rPr>
        <w:t xml:space="preserve">, </w:t>
      </w:r>
      <w:r w:rsidR="008224E3" w:rsidRPr="008224E3">
        <w:rPr>
          <w:rFonts w:ascii="Times New Roman" w:hAnsi="Times New Roman"/>
          <w:bCs/>
        </w:rPr>
        <w:t>gdje a označ</w:t>
      </w:r>
      <w:r w:rsidR="00AD78A2">
        <w:rPr>
          <w:rFonts w:ascii="Times New Roman" w:hAnsi="Times New Roman"/>
          <w:bCs/>
        </w:rPr>
        <w:t>ava aktivnost odgovarajućeg jon</w:t>
      </w:r>
      <w:r w:rsidR="00073041">
        <w:rPr>
          <w:rFonts w:ascii="Times New Roman" w:hAnsi="Times New Roman"/>
          <w:bCs/>
        </w:rPr>
        <w:t>a</w:t>
      </w:r>
      <w:r w:rsidR="008224E3" w:rsidRPr="008224E3">
        <w:rPr>
          <w:rFonts w:ascii="Times New Roman" w:hAnsi="Times New Roman"/>
          <w:bCs/>
        </w:rPr>
        <w:t xml:space="preserve">. Poređenjem jonskog proizvoda rastvora (Q) sa proizvodom rastvorljivosti (Ksp) određuje se stepen zasićenosti: kada je Q &lt; Ksp, rastvaranje je termodinamički povoljno; kada je Q = Ksp, rastvor je u ravnoteži; a kada je Q &gt; Ksp, moguće je taloženje mineralne faze. Ipak, prezasićenost sama po sebi ne garantuje neposredno taloženje, jer proces zavisi </w:t>
      </w:r>
      <w:r w:rsidR="00A47394">
        <w:rPr>
          <w:rFonts w:ascii="Times New Roman" w:hAnsi="Times New Roman"/>
          <w:bCs/>
        </w:rPr>
        <w:t xml:space="preserve">i od kinetičkih uslova </w:t>
      </w:r>
      <w:r w:rsidR="009139E1">
        <w:rPr>
          <w:rFonts w:ascii="Times New Roman" w:hAnsi="Times New Roman"/>
          <w:bCs/>
        </w:rPr>
        <w:t>[</w:t>
      </w:r>
      <w:r w:rsidR="00AD78A2" w:rsidRPr="00AD78A2">
        <w:rPr>
          <w:rFonts w:ascii="Times New Roman" w:hAnsi="Times New Roman"/>
          <w:bCs/>
        </w:rPr>
        <w:t>4].</w:t>
      </w:r>
      <w:r w:rsidR="00A47394">
        <w:rPr>
          <w:rFonts w:ascii="Times New Roman" w:hAnsi="Times New Roman"/>
          <w:bCs/>
        </w:rPr>
        <w:t xml:space="preserve"> </w:t>
      </w:r>
      <w:r w:rsidR="00A47394" w:rsidRPr="00A47394">
        <w:rPr>
          <w:rFonts w:ascii="Times New Roman" w:hAnsi="Times New Roman"/>
          <w:bCs/>
        </w:rPr>
        <w:t xml:space="preserve">Ovi odnosi imaju neposredan značaj u stomatologiji, jer objašnjavaju promjene mineralnog sastava zubne gleđi. Na primjer, tokom djelovanja kiselina nastalih metabolizmom bakterija dentalnog plaka snižava se pH vrijednost, što podstiče rastvaranje hidroksiapatita. U takvim uslovima rastvor može postati nezasićen u odnosu na hidroksiapatit </w:t>
      </w:r>
      <w:r w:rsidR="00A47394">
        <w:rPr>
          <w:rFonts w:ascii="Times New Roman" w:hAnsi="Times New Roman"/>
          <w:bCs/>
        </w:rPr>
        <w:t xml:space="preserve">                      </w:t>
      </w:r>
      <w:r w:rsidR="00A47394" w:rsidRPr="00A47394">
        <w:rPr>
          <w:rFonts w:ascii="Times New Roman" w:hAnsi="Times New Roman"/>
          <w:bCs/>
        </w:rPr>
        <w:t>(Q &lt; Ksp), čime se stvaraju uslovi za demineralizaciju gleđi. Nasuprot tome, kada pljuvačka neutrališe kiseline i obezbijedi odgovarajuće količine kalcijumovih i fosfatnih jona, rastvor se može približiti zasićenju ili postati prezasićen u odnosu na hidroksiapatit (</w:t>
      </w:r>
      <w:r w:rsidR="005F3E19" w:rsidRPr="005F3E19">
        <w:rPr>
          <w:rFonts w:ascii="Times New Roman" w:hAnsi="Times New Roman"/>
          <w:bCs/>
        </w:rPr>
        <w:t>Q &gt; Ksp</w:t>
      </w:r>
      <w:r w:rsidR="00A47394" w:rsidRPr="00A47394">
        <w:rPr>
          <w:rFonts w:ascii="Times New Roman" w:hAnsi="Times New Roman"/>
          <w:bCs/>
        </w:rPr>
        <w:t>). Na taj način smanjuje se tendencija ka daljem rastvaranju i stvaraju se uslovi povoljni za remineralizaciju zubne gleđi [4,5].</w:t>
      </w:r>
    </w:p>
    <w:p w:rsidR="00D82CF4" w:rsidRPr="00366216" w:rsidRDefault="00D82CF4" w:rsidP="00366216">
      <w:pPr>
        <w:pStyle w:val="Heading1"/>
      </w:pPr>
      <w:bookmarkStart w:id="10" w:name="_Toc244025625"/>
      <w:r w:rsidRPr="00EC2BB5">
        <w:lastRenderedPageBreak/>
        <w:t xml:space="preserve">4. </w:t>
      </w:r>
      <w:r w:rsidR="00EC2BB5" w:rsidRPr="00EC2BB5">
        <w:t>RASTVORLJIVOST DRUGIH KALCIJUM-FOSFATA</w:t>
      </w:r>
      <w:bookmarkEnd w:id="10"/>
    </w:p>
    <w:p w:rsidR="00D82CF4" w:rsidRPr="008B3230" w:rsidRDefault="00D82CF4" w:rsidP="00366216">
      <w:pPr>
        <w:pStyle w:val="Heading2"/>
      </w:pPr>
      <w:bookmarkStart w:id="11" w:name="_Toc244025626"/>
      <w:r w:rsidRPr="008B3230">
        <w:t>4.1. Osnovne karakteristike drugih kalcijum-fosfata</w:t>
      </w:r>
      <w:bookmarkEnd w:id="11"/>
    </w:p>
    <w:p w:rsidR="00033C6E" w:rsidRPr="00D82CF4" w:rsidRDefault="008B3230" w:rsidP="00366216">
      <w:pPr>
        <w:spacing w:after="120" w:line="360" w:lineRule="auto"/>
        <w:jc w:val="both"/>
        <w:rPr>
          <w:rFonts w:ascii="Times New Roman" w:hAnsi="Times New Roman"/>
          <w:bCs/>
        </w:rPr>
      </w:pPr>
      <w:r>
        <w:rPr>
          <w:rFonts w:ascii="Times New Roman" w:hAnsi="Times New Roman"/>
          <w:bCs/>
        </w:rPr>
        <w:tab/>
      </w:r>
      <w:r w:rsidR="00266B69" w:rsidRPr="00266B69">
        <w:rPr>
          <w:rFonts w:ascii="Times New Roman" w:hAnsi="Times New Roman"/>
          <w:bCs/>
        </w:rPr>
        <w:t>Pored hidroksiapatita, značajna jedinjenja iz grupe kalcijum-fosfata jesu brušit, trikalcijum-fosfat, oktakalcijum-fosfat i amorfni kalcijum-fosfat. Ona se razlikuju prema hemijskom sastavu, molarnom odnosu Ca/P i strukturnoj uređenosti. Posebno su značajne razlike u kristalnoj strukturi i sklonosti ka transformaciji u druge mineralne faze, jer utiču na njihovu rastvorljivost i stabilnost u vodenim sredinama [4]. Njihove osnovne karakteristike prikazane su u tabeli 1.</w:t>
      </w:r>
      <w:r w:rsidR="00033C6E" w:rsidRPr="00033C6E">
        <w:rPr>
          <w:rFonts w:ascii="Times New Roman" w:hAnsi="Times New Roman"/>
          <w:bCs/>
        </w:rPr>
        <w:t xml:space="preserve"> </w:t>
      </w:r>
    </w:p>
    <w:p w:rsidR="00D82CF4" w:rsidRDefault="00D82CF4" w:rsidP="00422F16">
      <w:pPr>
        <w:pStyle w:val="Heading2"/>
      </w:pPr>
      <w:bookmarkStart w:id="12" w:name="_Toc244025627"/>
      <w:r w:rsidRPr="008B3230">
        <w:t>4.2. Poređenje rastvorljivosti i stabilnosti različitih kalcijum-fosfatnih jedinjenja</w:t>
      </w:r>
      <w:bookmarkEnd w:id="12"/>
    </w:p>
    <w:tbl>
      <w:tblPr>
        <w:tblStyle w:val="TableGrid"/>
        <w:tblpPr w:leftFromText="180" w:rightFromText="180" w:vertAnchor="text" w:horzAnchor="margin" w:tblpXSpec="center" w:tblpY="144"/>
        <w:tblW w:w="11052" w:type="dxa"/>
        <w:tblLayout w:type="fixed"/>
        <w:tblLook w:val="04A0" w:firstRow="1" w:lastRow="0" w:firstColumn="1" w:lastColumn="0" w:noHBand="0" w:noVBand="1"/>
      </w:tblPr>
      <w:tblGrid>
        <w:gridCol w:w="2689"/>
        <w:gridCol w:w="2693"/>
        <w:gridCol w:w="2977"/>
        <w:gridCol w:w="2693"/>
      </w:tblGrid>
      <w:tr w:rsidR="001B12A0" w:rsidTr="00422F16">
        <w:trPr>
          <w:trHeight w:val="558"/>
        </w:trPr>
        <w:tc>
          <w:tcPr>
            <w:tcW w:w="2689"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Jedinjenje</w:t>
            </w:r>
          </w:p>
        </w:tc>
        <w:tc>
          <w:tcPr>
            <w:tcW w:w="2693"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Hemijska formula</w:t>
            </w:r>
          </w:p>
        </w:tc>
        <w:tc>
          <w:tcPr>
            <w:tcW w:w="2977"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Molarni odnos Ca/P</w:t>
            </w:r>
          </w:p>
        </w:tc>
        <w:tc>
          <w:tcPr>
            <w:tcW w:w="2693"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Rastvorljivost (25</w:t>
            </w:r>
            <w:r w:rsidRPr="007B6C73">
              <w:rPr>
                <w:rFonts w:ascii="Times New Roman" w:hAnsi="Times New Roman" w:cs="Times New Roman"/>
                <w:bCs/>
              </w:rPr>
              <w:t>°C</w:t>
            </w:r>
            <w:r>
              <w:rPr>
                <w:rFonts w:ascii="Times New Roman" w:hAnsi="Times New Roman" w:cs="Times New Roman"/>
                <w:bCs/>
              </w:rPr>
              <w:t>,g/L)</w:t>
            </w:r>
          </w:p>
        </w:tc>
      </w:tr>
      <w:tr w:rsidR="001B12A0" w:rsidTr="00422F16">
        <w:tc>
          <w:tcPr>
            <w:tcW w:w="2689"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Hidroksiapatit</w:t>
            </w:r>
          </w:p>
        </w:tc>
        <w:tc>
          <w:tcPr>
            <w:tcW w:w="2693" w:type="dxa"/>
          </w:tcPr>
          <w:p w:rsidR="001B12A0" w:rsidRDefault="001B12A0" w:rsidP="00422F16">
            <w:pPr>
              <w:spacing w:after="120" w:line="360" w:lineRule="auto"/>
              <w:jc w:val="center"/>
              <w:rPr>
                <w:rFonts w:ascii="Times New Roman" w:hAnsi="Times New Roman" w:cs="Times New Roman"/>
                <w:bCs/>
              </w:rPr>
            </w:pPr>
            <w:r w:rsidRPr="007B6C73">
              <w:rPr>
                <w:rFonts w:ascii="Times New Roman" w:hAnsi="Times New Roman" w:cs="Times New Roman"/>
                <w:bCs/>
              </w:rPr>
              <w:t>Ca₁₀(PO₄)₆(OH)₂</w:t>
            </w:r>
          </w:p>
        </w:tc>
        <w:tc>
          <w:tcPr>
            <w:tcW w:w="2977"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1,67</w:t>
            </w:r>
          </w:p>
        </w:tc>
        <w:tc>
          <w:tcPr>
            <w:tcW w:w="2693"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0,0003</w:t>
            </w:r>
          </w:p>
        </w:tc>
      </w:tr>
      <w:tr w:rsidR="001B12A0" w:rsidTr="00422F16">
        <w:tc>
          <w:tcPr>
            <w:tcW w:w="2689"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Brušit</w:t>
            </w:r>
          </w:p>
        </w:tc>
        <w:tc>
          <w:tcPr>
            <w:tcW w:w="2693" w:type="dxa"/>
          </w:tcPr>
          <w:p w:rsidR="001B12A0" w:rsidRDefault="001B12A0" w:rsidP="00422F16">
            <w:pPr>
              <w:spacing w:after="120" w:line="360" w:lineRule="auto"/>
              <w:jc w:val="center"/>
              <w:rPr>
                <w:rFonts w:ascii="Times New Roman" w:hAnsi="Times New Roman" w:cs="Times New Roman"/>
                <w:bCs/>
              </w:rPr>
            </w:pPr>
            <w:r w:rsidRPr="001B12A0">
              <w:rPr>
                <w:rFonts w:ascii="Times New Roman" w:hAnsi="Times New Roman" w:cs="Times New Roman"/>
                <w:bCs/>
              </w:rPr>
              <w:t>CaHPO₄·2H₂O</w:t>
            </w:r>
          </w:p>
        </w:tc>
        <w:tc>
          <w:tcPr>
            <w:tcW w:w="2977"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1,00</w:t>
            </w:r>
          </w:p>
        </w:tc>
        <w:tc>
          <w:tcPr>
            <w:tcW w:w="2693" w:type="dxa"/>
          </w:tcPr>
          <w:p w:rsidR="001B12A0" w:rsidRDefault="005F3E19" w:rsidP="00422F16">
            <w:pPr>
              <w:spacing w:after="120" w:line="360" w:lineRule="auto"/>
              <w:jc w:val="center"/>
              <w:rPr>
                <w:rFonts w:ascii="Times New Roman" w:hAnsi="Times New Roman" w:cs="Times New Roman"/>
                <w:bCs/>
              </w:rPr>
            </w:pPr>
            <w:r>
              <w:rPr>
                <w:rFonts w:ascii="Times New Roman" w:hAnsi="Times New Roman" w:cs="Times New Roman"/>
                <w:bCs/>
              </w:rPr>
              <w:t>0,0</w:t>
            </w:r>
            <w:r w:rsidR="001B12A0">
              <w:rPr>
                <w:rFonts w:ascii="Times New Roman" w:hAnsi="Times New Roman" w:cs="Times New Roman"/>
                <w:bCs/>
              </w:rPr>
              <w:t>88</w:t>
            </w:r>
          </w:p>
        </w:tc>
      </w:tr>
      <w:tr w:rsidR="001B12A0" w:rsidTr="00422F16">
        <w:tc>
          <w:tcPr>
            <w:tcW w:w="2689"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α-T</w:t>
            </w:r>
            <w:r w:rsidRPr="006C47C9">
              <w:rPr>
                <w:rFonts w:ascii="Times New Roman" w:hAnsi="Times New Roman" w:cs="Times New Roman"/>
                <w:bCs/>
              </w:rPr>
              <w:t>rikalcijum-fosfat</w:t>
            </w:r>
          </w:p>
        </w:tc>
        <w:tc>
          <w:tcPr>
            <w:tcW w:w="2693" w:type="dxa"/>
          </w:tcPr>
          <w:p w:rsidR="001B12A0" w:rsidRDefault="00266B69" w:rsidP="00422F16">
            <w:pPr>
              <w:spacing w:after="120" w:line="360" w:lineRule="auto"/>
              <w:jc w:val="center"/>
              <w:rPr>
                <w:rFonts w:ascii="Times New Roman" w:hAnsi="Times New Roman" w:cs="Times New Roman"/>
                <w:bCs/>
              </w:rPr>
            </w:pPr>
            <w:r w:rsidRPr="00266B69">
              <w:rPr>
                <w:rFonts w:ascii="Times New Roman" w:hAnsi="Times New Roman" w:cs="Times New Roman"/>
                <w:bCs/>
              </w:rPr>
              <w:t>α-</w:t>
            </w:r>
            <w:r w:rsidR="001B12A0" w:rsidRPr="001B12A0">
              <w:rPr>
                <w:rFonts w:ascii="Times New Roman" w:hAnsi="Times New Roman" w:cs="Times New Roman"/>
                <w:bCs/>
              </w:rPr>
              <w:t>Ca₃(PO₄)₂</w:t>
            </w:r>
          </w:p>
        </w:tc>
        <w:tc>
          <w:tcPr>
            <w:tcW w:w="2977"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1,50</w:t>
            </w:r>
          </w:p>
        </w:tc>
        <w:tc>
          <w:tcPr>
            <w:tcW w:w="2693"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0,0025</w:t>
            </w:r>
          </w:p>
        </w:tc>
      </w:tr>
      <w:tr w:rsidR="001B12A0" w:rsidTr="00422F16">
        <w:tc>
          <w:tcPr>
            <w:tcW w:w="2689"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sidRPr="006C47C9">
              <w:rPr>
                <w:rFonts w:ascii="Times New Roman" w:hAnsi="Times New Roman" w:cs="Times New Roman"/>
                <w:bCs/>
              </w:rPr>
              <w:t>β-</w:t>
            </w:r>
            <w:r>
              <w:t>T</w:t>
            </w:r>
            <w:r w:rsidRPr="006C47C9">
              <w:rPr>
                <w:rFonts w:ascii="Times New Roman" w:hAnsi="Times New Roman" w:cs="Times New Roman"/>
                <w:bCs/>
              </w:rPr>
              <w:t>rikalcijum-fosfat</w:t>
            </w:r>
          </w:p>
        </w:tc>
        <w:tc>
          <w:tcPr>
            <w:tcW w:w="2693" w:type="dxa"/>
          </w:tcPr>
          <w:p w:rsidR="001B12A0" w:rsidRDefault="00266B69" w:rsidP="00422F16">
            <w:pPr>
              <w:spacing w:after="120" w:line="360" w:lineRule="auto"/>
              <w:jc w:val="center"/>
              <w:rPr>
                <w:rFonts w:ascii="Times New Roman" w:hAnsi="Times New Roman" w:cs="Times New Roman"/>
                <w:bCs/>
              </w:rPr>
            </w:pPr>
            <w:r w:rsidRPr="00266B69">
              <w:rPr>
                <w:rFonts w:ascii="Times New Roman" w:hAnsi="Times New Roman" w:cs="Times New Roman"/>
                <w:bCs/>
              </w:rPr>
              <w:t>β-</w:t>
            </w:r>
            <w:r>
              <w:t xml:space="preserve"> </w:t>
            </w:r>
            <w:r w:rsidRPr="00266B69">
              <w:rPr>
                <w:rFonts w:ascii="Times New Roman" w:hAnsi="Times New Roman" w:cs="Times New Roman"/>
                <w:bCs/>
              </w:rPr>
              <w:t>Ca₃(PO₄)₂</w:t>
            </w:r>
          </w:p>
        </w:tc>
        <w:tc>
          <w:tcPr>
            <w:tcW w:w="2977"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1,50</w:t>
            </w:r>
          </w:p>
        </w:tc>
        <w:tc>
          <w:tcPr>
            <w:tcW w:w="2693"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0,0005</w:t>
            </w:r>
          </w:p>
        </w:tc>
      </w:tr>
      <w:tr w:rsidR="001B12A0" w:rsidTr="00422F16">
        <w:tc>
          <w:tcPr>
            <w:tcW w:w="2689"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sidRPr="006C47C9">
              <w:rPr>
                <w:rFonts w:ascii="Times New Roman" w:hAnsi="Times New Roman" w:cs="Times New Roman"/>
                <w:bCs/>
              </w:rPr>
              <w:t>Oktakalcijum-fosfat</w:t>
            </w:r>
          </w:p>
        </w:tc>
        <w:tc>
          <w:tcPr>
            <w:tcW w:w="2693" w:type="dxa"/>
          </w:tcPr>
          <w:p w:rsidR="001B12A0" w:rsidRDefault="001B12A0" w:rsidP="00422F16">
            <w:pPr>
              <w:spacing w:after="120" w:line="360" w:lineRule="auto"/>
              <w:jc w:val="center"/>
              <w:rPr>
                <w:rFonts w:ascii="Times New Roman" w:hAnsi="Times New Roman" w:cs="Times New Roman"/>
                <w:bCs/>
              </w:rPr>
            </w:pPr>
            <w:r w:rsidRPr="001B12A0">
              <w:rPr>
                <w:rFonts w:ascii="Times New Roman" w:hAnsi="Times New Roman" w:cs="Times New Roman"/>
                <w:bCs/>
              </w:rPr>
              <w:t>Ca₈(HPO₄)₂(PO₄)₄·5H₂O</w:t>
            </w:r>
          </w:p>
        </w:tc>
        <w:tc>
          <w:tcPr>
            <w:tcW w:w="2977"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1,33</w:t>
            </w:r>
          </w:p>
        </w:tc>
        <w:tc>
          <w:tcPr>
            <w:tcW w:w="2693"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0,0081</w:t>
            </w:r>
          </w:p>
        </w:tc>
      </w:tr>
      <w:tr w:rsidR="001B12A0" w:rsidTr="00422F16">
        <w:trPr>
          <w:trHeight w:val="58"/>
        </w:trPr>
        <w:tc>
          <w:tcPr>
            <w:tcW w:w="2689" w:type="dxa"/>
            <w:shd w:val="clear" w:color="auto" w:fill="C6D9F1" w:themeFill="text2" w:themeFillTint="33"/>
          </w:tcPr>
          <w:p w:rsidR="001B12A0" w:rsidRDefault="001B12A0" w:rsidP="00422F16">
            <w:pPr>
              <w:spacing w:after="120" w:line="360" w:lineRule="auto"/>
              <w:jc w:val="center"/>
              <w:rPr>
                <w:rFonts w:ascii="Times New Roman" w:hAnsi="Times New Roman" w:cs="Times New Roman"/>
                <w:bCs/>
              </w:rPr>
            </w:pPr>
            <w:r w:rsidRPr="006C47C9">
              <w:rPr>
                <w:rFonts w:ascii="Times New Roman" w:hAnsi="Times New Roman" w:cs="Times New Roman"/>
                <w:bCs/>
              </w:rPr>
              <w:t>Amorfni kalcijum-fosfat</w:t>
            </w:r>
          </w:p>
        </w:tc>
        <w:tc>
          <w:tcPr>
            <w:tcW w:w="2693" w:type="dxa"/>
          </w:tcPr>
          <w:p w:rsidR="001B12A0" w:rsidRDefault="00266B69" w:rsidP="00422F16">
            <w:pPr>
              <w:spacing w:after="120" w:line="360" w:lineRule="auto"/>
              <w:jc w:val="center"/>
              <w:rPr>
                <w:rFonts w:ascii="Times New Roman" w:hAnsi="Times New Roman" w:cs="Times New Roman"/>
                <w:bCs/>
              </w:rPr>
            </w:pPr>
            <w:r>
              <w:rPr>
                <w:rFonts w:ascii="Times New Roman" w:hAnsi="Times New Roman" w:cs="Times New Roman"/>
                <w:bCs/>
              </w:rPr>
              <w:t>Nema pravilno uređenu kristalnu strukutur</w:t>
            </w:r>
          </w:p>
        </w:tc>
        <w:tc>
          <w:tcPr>
            <w:tcW w:w="2977" w:type="dxa"/>
          </w:tcPr>
          <w:p w:rsidR="001B12A0" w:rsidRDefault="001B12A0" w:rsidP="00422F16">
            <w:pPr>
              <w:spacing w:after="120" w:line="360" w:lineRule="auto"/>
              <w:jc w:val="center"/>
              <w:rPr>
                <w:rFonts w:ascii="Times New Roman" w:hAnsi="Times New Roman" w:cs="Times New Roman"/>
                <w:bCs/>
              </w:rPr>
            </w:pPr>
            <w:r w:rsidRPr="001B12A0">
              <w:rPr>
                <w:rFonts w:ascii="Times New Roman" w:hAnsi="Times New Roman" w:cs="Times New Roman"/>
                <w:bCs/>
              </w:rPr>
              <w:t>≈</w:t>
            </w:r>
            <w:r w:rsidR="00266B69">
              <w:rPr>
                <w:rFonts w:ascii="Times New Roman" w:hAnsi="Times New Roman" w:cs="Times New Roman"/>
                <w:bCs/>
              </w:rPr>
              <w:t>1,20-2,20(promjenjljivo)</w:t>
            </w:r>
          </w:p>
        </w:tc>
        <w:tc>
          <w:tcPr>
            <w:tcW w:w="2693" w:type="dxa"/>
          </w:tcPr>
          <w:p w:rsidR="001B12A0" w:rsidRDefault="001B12A0" w:rsidP="00422F16">
            <w:pPr>
              <w:spacing w:after="120" w:line="360" w:lineRule="auto"/>
              <w:jc w:val="center"/>
              <w:rPr>
                <w:rFonts w:ascii="Times New Roman" w:hAnsi="Times New Roman" w:cs="Times New Roman"/>
                <w:bCs/>
              </w:rPr>
            </w:pPr>
            <w:r>
              <w:rPr>
                <w:rFonts w:ascii="Times New Roman" w:hAnsi="Times New Roman" w:cs="Times New Roman"/>
                <w:bCs/>
              </w:rPr>
              <w:t>Promjenljiva</w:t>
            </w:r>
          </w:p>
        </w:tc>
      </w:tr>
    </w:tbl>
    <w:p w:rsidR="001B12A0" w:rsidRPr="00422F16" w:rsidRDefault="00266B69" w:rsidP="00422F16">
      <w:pPr>
        <w:pStyle w:val="BodyText"/>
        <w:jc w:val="center"/>
        <w:rPr>
          <w:i/>
        </w:rPr>
      </w:pPr>
      <w:r w:rsidRPr="00266B69">
        <w:rPr>
          <w:i/>
        </w:rPr>
        <w:t>Tabela 1</w:t>
      </w:r>
      <w:r w:rsidR="00846F36">
        <w:rPr>
          <w:i/>
        </w:rPr>
        <w:t xml:space="preserve">.Poređenje hemijskog sastava,molarnog odnosa Ca/P i rastvorljivosti odabranih kalcijum-fosfata </w:t>
      </w:r>
      <w:r w:rsidR="005F3E19" w:rsidRPr="005F3E19">
        <w:rPr>
          <w:i/>
        </w:rPr>
        <w:t>[4]</w:t>
      </w:r>
    </w:p>
    <w:p w:rsidR="00266B69" w:rsidRPr="00266B69" w:rsidRDefault="00422F16" w:rsidP="00266B69">
      <w:pPr>
        <w:spacing w:after="120" w:line="360" w:lineRule="auto"/>
        <w:jc w:val="both"/>
        <w:rPr>
          <w:rFonts w:ascii="Times New Roman" w:hAnsi="Times New Roman"/>
          <w:bCs/>
        </w:rPr>
      </w:pPr>
      <w:r>
        <w:rPr>
          <w:rFonts w:ascii="Times New Roman" w:hAnsi="Times New Roman"/>
          <w:bCs/>
        </w:rPr>
        <w:tab/>
      </w:r>
      <w:r w:rsidR="00266B69" w:rsidRPr="00266B69">
        <w:rPr>
          <w:rFonts w:ascii="Times New Roman" w:hAnsi="Times New Roman"/>
          <w:bCs/>
        </w:rPr>
        <w:t>Podaci prikazani u tabeli 1 ukazuju na značajne razlike u rastvorljivosti kalcijum-fosfata. Prema približnim vrijednostima pri 25 °C, brušit je oko 293 puta rastvorljiviji od hidroksiapatita, dok je α-trikalcijum-fosfat pet puta rastvorljiviji od β-oblika. Oktakalcijum-fosfat takođe pokazuje veću rastvorljivost od hidroksiapatita, što ukazuje na različito ravnotežno ponašanje ovih mineralnih faza [4].</w:t>
      </w:r>
    </w:p>
    <w:p w:rsidR="00266B69" w:rsidRPr="00266B69" w:rsidRDefault="00422F16" w:rsidP="00266B69">
      <w:pPr>
        <w:spacing w:after="120" w:line="360" w:lineRule="auto"/>
        <w:jc w:val="both"/>
        <w:rPr>
          <w:rFonts w:ascii="Times New Roman" w:hAnsi="Times New Roman"/>
          <w:bCs/>
        </w:rPr>
      </w:pPr>
      <w:r>
        <w:rPr>
          <w:rFonts w:ascii="Times New Roman" w:hAnsi="Times New Roman"/>
          <w:bCs/>
        </w:rPr>
        <w:tab/>
      </w:r>
      <w:r w:rsidR="00266B69" w:rsidRPr="00266B69">
        <w:rPr>
          <w:rFonts w:ascii="Times New Roman" w:hAnsi="Times New Roman"/>
          <w:bCs/>
        </w:rPr>
        <w:t>Razlika između α- i β-trikalcijum-fosfata posebno je značajna jer, uprkos istom hemijskom sastavu i odnosu Ca/P, imaju različitu rastvorljivost usljed razlika u kristalnoj strukturi. To pokazuje da hemijska formula nije dovoljna za predviđanje ponašanja je</w:t>
      </w:r>
      <w:r w:rsidR="00266B69">
        <w:rPr>
          <w:rFonts w:ascii="Times New Roman" w:hAnsi="Times New Roman"/>
          <w:bCs/>
        </w:rPr>
        <w:t>dinjenja u vodenoj sredini [4].</w:t>
      </w:r>
    </w:p>
    <w:p w:rsidR="00266B69" w:rsidRPr="00266B69" w:rsidRDefault="00422F16" w:rsidP="00266B69">
      <w:pPr>
        <w:spacing w:after="120" w:line="360" w:lineRule="auto"/>
        <w:jc w:val="both"/>
        <w:rPr>
          <w:rFonts w:ascii="Times New Roman" w:hAnsi="Times New Roman"/>
          <w:bCs/>
        </w:rPr>
      </w:pPr>
      <w:r>
        <w:rPr>
          <w:rFonts w:ascii="Times New Roman" w:hAnsi="Times New Roman"/>
          <w:bCs/>
        </w:rPr>
        <w:tab/>
      </w:r>
      <w:r w:rsidR="00266B69" w:rsidRPr="00266B69">
        <w:rPr>
          <w:rFonts w:ascii="Times New Roman" w:hAnsi="Times New Roman"/>
          <w:bCs/>
        </w:rPr>
        <w:t xml:space="preserve">Stabilnost pojedinih kalcijum-fosfata takođe se razlikuje. Hidroksiapatit je stabilan u alkalnom području, približno pri pH 9,5–12, dok je brušit karakterističan za kiselije uslove, približno pri pH 2–6. Oktakalcijum-fosfat je stabilan u užem području, približno pri pH 5,5–7,0, i može učestvovati u </w:t>
      </w:r>
      <w:r w:rsidR="00266B69" w:rsidRPr="00266B69">
        <w:rPr>
          <w:rFonts w:ascii="Times New Roman" w:hAnsi="Times New Roman"/>
          <w:bCs/>
        </w:rPr>
        <w:lastRenderedPageBreak/>
        <w:t>transformaciji ka apatitu. Amorfni kalcijum-fosfat je metastabilan zbog odsustva uređene kristalne rešetke i može prelaziti u</w:t>
      </w:r>
      <w:r w:rsidR="00263082">
        <w:rPr>
          <w:rFonts w:ascii="Times New Roman" w:hAnsi="Times New Roman"/>
          <w:bCs/>
        </w:rPr>
        <w:t xml:space="preserve"> stabilnije kristalne faze [4].</w:t>
      </w:r>
    </w:p>
    <w:p w:rsidR="001B12A0" w:rsidRDefault="00422F16" w:rsidP="00266B69">
      <w:pPr>
        <w:spacing w:after="120" w:line="360" w:lineRule="auto"/>
        <w:jc w:val="both"/>
        <w:rPr>
          <w:rFonts w:ascii="Times New Roman" w:hAnsi="Times New Roman"/>
          <w:bCs/>
        </w:rPr>
      </w:pPr>
      <w:r>
        <w:rPr>
          <w:rFonts w:ascii="Times New Roman" w:hAnsi="Times New Roman"/>
          <w:bCs/>
        </w:rPr>
        <w:tab/>
      </w:r>
      <w:r w:rsidR="00266B69" w:rsidRPr="00266B69">
        <w:rPr>
          <w:rFonts w:ascii="Times New Roman" w:hAnsi="Times New Roman"/>
          <w:bCs/>
        </w:rPr>
        <w:t>U stomatologiji su ove razlike značajne za razumijevanje mineralne ravnoteže tvrdih zubnih tkiva. Promjene pH i sastava oralne sredine mogu podstaći rastvaranje hidroksiapatita, dok odgovarajući uslovi omogućavaju ponovno taloženje minerala. Poznavanje ponašanja drugih kalcijum-fosfata važno je i za razumijevanje mineralizacije i primjene biomaterijala u obnovi tvrdih tkiva [4</w:t>
      </w:r>
      <w:r w:rsidR="00263082">
        <w:rPr>
          <w:rFonts w:ascii="Times New Roman" w:hAnsi="Times New Roman"/>
          <w:bCs/>
        </w:rPr>
        <w:t>,5</w:t>
      </w:r>
      <w:r w:rsidR="00266B69" w:rsidRPr="00266B69">
        <w:rPr>
          <w:rFonts w:ascii="Times New Roman" w:hAnsi="Times New Roman"/>
          <w:bCs/>
        </w:rPr>
        <w:t>].</w:t>
      </w:r>
    </w:p>
    <w:p w:rsidR="001B12A0" w:rsidRDefault="001B12A0" w:rsidP="00033C6E">
      <w:pPr>
        <w:spacing w:after="120" w:line="360" w:lineRule="auto"/>
        <w:jc w:val="both"/>
        <w:rPr>
          <w:rFonts w:ascii="Times New Roman" w:hAnsi="Times New Roman"/>
          <w:bCs/>
        </w:rPr>
      </w:pPr>
    </w:p>
    <w:p w:rsidR="001B12A0" w:rsidRDefault="001B12A0" w:rsidP="00033C6E">
      <w:pPr>
        <w:spacing w:after="120" w:line="360" w:lineRule="auto"/>
        <w:jc w:val="both"/>
        <w:rPr>
          <w:rFonts w:ascii="Times New Roman" w:hAnsi="Times New Roman"/>
          <w:bCs/>
        </w:rPr>
      </w:pPr>
    </w:p>
    <w:p w:rsidR="001B12A0" w:rsidRDefault="001B12A0" w:rsidP="00033C6E">
      <w:pPr>
        <w:spacing w:after="120" w:line="360" w:lineRule="auto"/>
        <w:jc w:val="both"/>
        <w:rPr>
          <w:rFonts w:ascii="Times New Roman" w:hAnsi="Times New Roman"/>
          <w:bCs/>
        </w:rPr>
      </w:pPr>
    </w:p>
    <w:p w:rsidR="001B12A0" w:rsidRDefault="001B12A0" w:rsidP="00033C6E">
      <w:pPr>
        <w:spacing w:after="120" w:line="360" w:lineRule="auto"/>
        <w:jc w:val="both"/>
        <w:rPr>
          <w:rFonts w:ascii="Times New Roman" w:hAnsi="Times New Roman"/>
          <w:bCs/>
        </w:rPr>
      </w:pPr>
    </w:p>
    <w:p w:rsidR="00033C6E" w:rsidRPr="00033C6E" w:rsidRDefault="00033C6E" w:rsidP="00033C6E">
      <w:pPr>
        <w:spacing w:after="120" w:line="360" w:lineRule="auto"/>
        <w:jc w:val="both"/>
        <w:rPr>
          <w:rFonts w:ascii="Times New Roman" w:hAnsi="Times New Roman" w:cs="Times New Roman"/>
          <w:bCs/>
        </w:rPr>
      </w:pPr>
    </w:p>
    <w:p w:rsidR="008B3230" w:rsidRDefault="008B3230">
      <w:pPr>
        <w:rPr>
          <w:rFonts w:ascii="Times New Roman" w:hAnsi="Times New Roman"/>
          <w:bCs/>
        </w:rPr>
      </w:pPr>
      <w:r>
        <w:rPr>
          <w:rFonts w:ascii="Times New Roman" w:hAnsi="Times New Roman"/>
          <w:bCs/>
        </w:rPr>
        <w:br w:type="page"/>
      </w:r>
    </w:p>
    <w:p w:rsidR="008B3230" w:rsidRPr="008B3230" w:rsidRDefault="00EA2E85" w:rsidP="00366216">
      <w:pPr>
        <w:pStyle w:val="Heading1"/>
      </w:pPr>
      <w:bookmarkStart w:id="13" w:name="_Toc244025628"/>
      <w:r w:rsidRPr="008B3230">
        <w:lastRenderedPageBreak/>
        <w:t xml:space="preserve">5. </w:t>
      </w:r>
      <w:r w:rsidR="008B3230" w:rsidRPr="008B3230">
        <w:t>FAKTORI KOJI UTIČU NA RASTVORLJIVOST</w:t>
      </w:r>
      <w:bookmarkEnd w:id="13"/>
    </w:p>
    <w:p w:rsidR="00EA2E85" w:rsidRPr="00EA2E85" w:rsidRDefault="008B3230" w:rsidP="00366216">
      <w:pPr>
        <w:spacing w:after="120" w:line="360" w:lineRule="auto"/>
        <w:jc w:val="both"/>
        <w:rPr>
          <w:rFonts w:ascii="Times New Roman" w:hAnsi="Times New Roman"/>
          <w:bCs/>
        </w:rPr>
      </w:pPr>
      <w:r>
        <w:rPr>
          <w:rFonts w:ascii="Times New Roman" w:hAnsi="Times New Roman"/>
          <w:bCs/>
        </w:rPr>
        <w:tab/>
      </w:r>
      <w:r w:rsidR="00EA2E85" w:rsidRPr="00EA2E85">
        <w:rPr>
          <w:rFonts w:ascii="Times New Roman" w:hAnsi="Times New Roman"/>
          <w:bCs/>
        </w:rPr>
        <w:t>Rastvorljivost hidroksiapatita i drugih kalcijum-fosfata u vodenim sredinama zavisi od više fizičko-hemijskih faktora koji određuju ravnotežu između čvrste mineralne faze i rastvorenih jona. Najznačajniji su pH vrijednost, koncentracija kalcijumovih i fosfatnih jona, temperatura, jonska jačina i sastav rastvora. Njihovo djelovanje određuje da li će proces rastvaranja ili taloženja minerala biti termodinamički povoljniji [</w:t>
      </w:r>
      <w:r w:rsidR="00555DB5">
        <w:rPr>
          <w:rFonts w:ascii="Times New Roman" w:hAnsi="Times New Roman"/>
          <w:bCs/>
        </w:rPr>
        <w:t>4</w:t>
      </w:r>
      <w:r w:rsidR="00EA2E85" w:rsidRPr="00EA2E85">
        <w:rPr>
          <w:rFonts w:ascii="Times New Roman" w:hAnsi="Times New Roman"/>
          <w:bCs/>
        </w:rPr>
        <w:t>].</w:t>
      </w:r>
    </w:p>
    <w:p w:rsidR="00EA2E85" w:rsidRPr="008B3230" w:rsidRDefault="008B3230" w:rsidP="00366216">
      <w:pPr>
        <w:pStyle w:val="Heading2"/>
      </w:pPr>
      <w:bookmarkStart w:id="14" w:name="_Toc244025629"/>
      <w:r w:rsidRPr="008B3230">
        <w:t>5.1. Uticaj pH vrijednosti</w:t>
      </w:r>
      <w:bookmarkEnd w:id="14"/>
    </w:p>
    <w:p w:rsidR="00607A0B" w:rsidRDefault="008B3230" w:rsidP="00607A0B">
      <w:pPr>
        <w:spacing w:after="120" w:line="360" w:lineRule="auto"/>
        <w:jc w:val="both"/>
        <w:rPr>
          <w:rFonts w:ascii="Times New Roman" w:hAnsi="Times New Roman"/>
          <w:bCs/>
        </w:rPr>
      </w:pPr>
      <w:r>
        <w:rPr>
          <w:rFonts w:ascii="Times New Roman" w:hAnsi="Times New Roman"/>
          <w:bCs/>
        </w:rPr>
        <w:tab/>
      </w:r>
      <w:r w:rsidR="00607A0B">
        <w:rPr>
          <w:rFonts w:ascii="Times New Roman" w:hAnsi="Times New Roman"/>
          <w:bCs/>
        </w:rPr>
        <w:t xml:space="preserve">Jedan </w:t>
      </w:r>
      <w:r w:rsidR="00607A0B" w:rsidRPr="00607A0B">
        <w:rPr>
          <w:rFonts w:ascii="Times New Roman" w:hAnsi="Times New Roman"/>
          <w:bCs/>
        </w:rPr>
        <w:t>od najvažnijih faktora koji određuju rastvorljivost hidroksiapatita</w:t>
      </w:r>
      <w:r w:rsidR="00607A0B">
        <w:rPr>
          <w:rFonts w:ascii="Times New Roman" w:hAnsi="Times New Roman"/>
          <w:bCs/>
        </w:rPr>
        <w:t xml:space="preserve"> jeste pH vrijednost</w:t>
      </w:r>
      <w:r w:rsidR="00607A0B" w:rsidRPr="00607A0B">
        <w:rPr>
          <w:rFonts w:ascii="Times New Roman" w:hAnsi="Times New Roman"/>
          <w:bCs/>
        </w:rPr>
        <w:t>. Promjena pH vrijednosti utiče na protonovanje fosfatnih jona i koncentraciju hidroksidnih jona u rastvoru, čime se mijenja ravnoteža rastvaranja mineralne faze. Sa smanjenjem pH vrijednosti povećava se sklonost hidroksiapatita ka rastvaranju, što je od posebnog značaja za procese dem</w:t>
      </w:r>
      <w:r w:rsidR="00607A0B">
        <w:rPr>
          <w:rFonts w:ascii="Times New Roman" w:hAnsi="Times New Roman"/>
          <w:bCs/>
        </w:rPr>
        <w:t>ineralizacije zubnih tkiva [4].</w:t>
      </w:r>
    </w:p>
    <w:p w:rsidR="00607A0B" w:rsidRDefault="00422F16" w:rsidP="00607A0B">
      <w:pPr>
        <w:spacing w:after="120" w:line="360" w:lineRule="auto"/>
        <w:jc w:val="both"/>
        <w:rPr>
          <w:rFonts w:ascii="Times New Roman" w:hAnsi="Times New Roman"/>
          <w:bCs/>
        </w:rPr>
      </w:pPr>
      <w:r>
        <w:rPr>
          <w:rFonts w:ascii="Times New Roman" w:hAnsi="Times New Roman"/>
          <w:bCs/>
        </w:rPr>
        <w:tab/>
      </w:r>
      <w:r w:rsidR="00607A0B" w:rsidRPr="00607A0B">
        <w:rPr>
          <w:rFonts w:ascii="Times New Roman" w:hAnsi="Times New Roman"/>
          <w:bCs/>
        </w:rPr>
        <w:t>Fosfatna kiselina je triprotonska kiselina, pa njeni joni mogu postepeno primati protone, pri čemu nastaju različiti fosfatni oblici. Ove ravnoteže prikazane su s</w:t>
      </w:r>
      <w:r w:rsidR="00607A0B">
        <w:rPr>
          <w:rFonts w:ascii="Times New Roman" w:hAnsi="Times New Roman"/>
          <w:bCs/>
        </w:rPr>
        <w:t xml:space="preserve">ljedećim hemijskim jednačinama:   </w:t>
      </w:r>
    </w:p>
    <w:p w:rsidR="00607A0B" w:rsidRPr="00607A0B" w:rsidRDefault="00607A0B" w:rsidP="00607A0B">
      <w:pPr>
        <w:spacing w:after="120" w:line="360" w:lineRule="auto"/>
        <w:jc w:val="both"/>
        <w:rPr>
          <w:rFonts w:ascii="Times New Roman" w:hAnsi="Times New Roman"/>
          <w:bCs/>
        </w:rPr>
      </w:pPr>
      <w:r w:rsidRPr="00607A0B">
        <w:rPr>
          <w:rFonts w:ascii="Times New Roman" w:hAnsi="Times New Roman"/>
          <w:bCs/>
        </w:rPr>
        <w:t xml:space="preserve">PO₄³⁻ + H⁺ </w:t>
      </w:r>
      <w:r w:rsidRPr="00607A0B">
        <w:rPr>
          <w:rFonts w:ascii="Cambria Math" w:hAnsi="Cambria Math" w:cs="Cambria Math"/>
          <w:bCs/>
        </w:rPr>
        <w:t>⇌</w:t>
      </w:r>
      <w:r w:rsidRPr="00607A0B">
        <w:rPr>
          <w:rFonts w:ascii="Times New Roman" w:hAnsi="Times New Roman"/>
          <w:bCs/>
        </w:rPr>
        <w:t xml:space="preserve"> HPO</w:t>
      </w:r>
      <w:r w:rsidRPr="00607A0B">
        <w:rPr>
          <w:rFonts w:ascii="Times New Roman" w:hAnsi="Times New Roman" w:cs="Times New Roman"/>
          <w:bCs/>
        </w:rPr>
        <w:t>₄²⁻</w:t>
      </w:r>
    </w:p>
    <w:p w:rsidR="00607A0B" w:rsidRPr="00607A0B" w:rsidRDefault="00607A0B" w:rsidP="00607A0B">
      <w:pPr>
        <w:spacing w:after="120" w:line="360" w:lineRule="auto"/>
        <w:jc w:val="both"/>
        <w:rPr>
          <w:rFonts w:ascii="Times New Roman" w:hAnsi="Times New Roman"/>
          <w:bCs/>
        </w:rPr>
      </w:pPr>
      <w:r w:rsidRPr="00607A0B">
        <w:rPr>
          <w:rFonts w:ascii="Times New Roman" w:hAnsi="Times New Roman"/>
          <w:bCs/>
        </w:rPr>
        <w:t xml:space="preserve">HPO₄²⁻ + H⁺ </w:t>
      </w:r>
      <w:r w:rsidRPr="00607A0B">
        <w:rPr>
          <w:rFonts w:ascii="Cambria Math" w:hAnsi="Cambria Math" w:cs="Cambria Math"/>
          <w:bCs/>
        </w:rPr>
        <w:t>⇌</w:t>
      </w:r>
      <w:r w:rsidRPr="00607A0B">
        <w:rPr>
          <w:rFonts w:ascii="Times New Roman" w:hAnsi="Times New Roman"/>
          <w:bCs/>
        </w:rPr>
        <w:t xml:space="preserve"> H</w:t>
      </w:r>
      <w:r w:rsidRPr="00607A0B">
        <w:rPr>
          <w:rFonts w:ascii="Times New Roman" w:hAnsi="Times New Roman" w:cs="Times New Roman"/>
          <w:bCs/>
        </w:rPr>
        <w:t>₂</w:t>
      </w:r>
      <w:r w:rsidRPr="00607A0B">
        <w:rPr>
          <w:rFonts w:ascii="Times New Roman" w:hAnsi="Times New Roman"/>
          <w:bCs/>
        </w:rPr>
        <w:t>PO</w:t>
      </w:r>
      <w:r w:rsidRPr="00607A0B">
        <w:rPr>
          <w:rFonts w:ascii="Times New Roman" w:hAnsi="Times New Roman" w:cs="Times New Roman"/>
          <w:bCs/>
        </w:rPr>
        <w:t>₄⁻</w:t>
      </w:r>
    </w:p>
    <w:p w:rsidR="00607A0B" w:rsidRDefault="00607A0B" w:rsidP="00607A0B">
      <w:pPr>
        <w:spacing w:after="120" w:line="360" w:lineRule="auto"/>
        <w:jc w:val="both"/>
        <w:rPr>
          <w:rFonts w:ascii="Times New Roman" w:hAnsi="Times New Roman" w:cs="Times New Roman"/>
          <w:bCs/>
        </w:rPr>
      </w:pPr>
      <w:r w:rsidRPr="00607A0B">
        <w:rPr>
          <w:rFonts w:ascii="Times New Roman" w:hAnsi="Times New Roman"/>
          <w:bCs/>
        </w:rPr>
        <w:t xml:space="preserve">H₂PO₄⁻ + H⁺ </w:t>
      </w:r>
      <w:r w:rsidRPr="00607A0B">
        <w:rPr>
          <w:rFonts w:ascii="Cambria Math" w:hAnsi="Cambria Math" w:cs="Cambria Math"/>
          <w:bCs/>
        </w:rPr>
        <w:t>⇌</w:t>
      </w:r>
      <w:r w:rsidRPr="00607A0B">
        <w:rPr>
          <w:rFonts w:ascii="Times New Roman" w:hAnsi="Times New Roman"/>
          <w:bCs/>
        </w:rPr>
        <w:t xml:space="preserve"> H</w:t>
      </w:r>
      <w:r w:rsidRPr="00607A0B">
        <w:rPr>
          <w:rFonts w:ascii="Times New Roman" w:hAnsi="Times New Roman" w:cs="Times New Roman"/>
          <w:bCs/>
        </w:rPr>
        <w:t>₃</w:t>
      </w:r>
      <w:r w:rsidRPr="00607A0B">
        <w:rPr>
          <w:rFonts w:ascii="Times New Roman" w:hAnsi="Times New Roman"/>
          <w:bCs/>
        </w:rPr>
        <w:t>PO</w:t>
      </w:r>
      <w:r w:rsidRPr="00607A0B">
        <w:rPr>
          <w:rFonts w:ascii="Times New Roman" w:hAnsi="Times New Roman" w:cs="Times New Roman"/>
          <w:bCs/>
        </w:rPr>
        <w:t>₄</w:t>
      </w:r>
    </w:p>
    <w:p w:rsidR="00982735" w:rsidRPr="00982735" w:rsidRDefault="00846F36" w:rsidP="00982735">
      <w:pPr>
        <w:spacing w:after="120" w:line="360" w:lineRule="auto"/>
        <w:jc w:val="both"/>
        <w:rPr>
          <w:rFonts w:ascii="Times New Roman" w:hAnsi="Times New Roman"/>
          <w:bCs/>
        </w:rPr>
      </w:pPr>
      <w:r>
        <w:rPr>
          <w:rFonts w:ascii="Times New Roman" w:hAnsi="Times New Roman"/>
          <w:bCs/>
          <w:i/>
          <w:noProof/>
          <w:lang w:val="en-GB" w:eastAsia="en-GB" w:bidi="ar-SA"/>
        </w:rPr>
        <w:drawing>
          <wp:anchor distT="0" distB="0" distL="114300" distR="114300" simplePos="0" relativeHeight="251661312" behindDoc="0" locked="0" layoutInCell="1" allowOverlap="1">
            <wp:simplePos x="0" y="0"/>
            <wp:positionH relativeFrom="margin">
              <wp:align>center</wp:align>
            </wp:positionH>
            <wp:positionV relativeFrom="paragraph">
              <wp:posOffset>1329690</wp:posOffset>
            </wp:positionV>
            <wp:extent cx="2639695" cy="2072640"/>
            <wp:effectExtent l="0" t="0" r="8255" b="381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9695" cy="2072640"/>
                    </a:xfrm>
                    <a:prstGeom prst="rect">
                      <a:avLst/>
                    </a:prstGeom>
                    <a:noFill/>
                  </pic:spPr>
                </pic:pic>
              </a:graphicData>
            </a:graphic>
            <wp14:sizeRelH relativeFrom="margin">
              <wp14:pctWidth>0</wp14:pctWidth>
            </wp14:sizeRelH>
            <wp14:sizeRelV relativeFrom="margin">
              <wp14:pctHeight>0</wp14:pctHeight>
            </wp14:sizeRelV>
          </wp:anchor>
        </w:drawing>
      </w:r>
      <w:r w:rsidR="00422F16">
        <w:rPr>
          <w:rFonts w:ascii="Times New Roman" w:hAnsi="Times New Roman"/>
          <w:bCs/>
        </w:rPr>
        <w:tab/>
      </w:r>
      <w:r w:rsidR="00982735" w:rsidRPr="00982735">
        <w:rPr>
          <w:rFonts w:ascii="Times New Roman" w:hAnsi="Times New Roman"/>
          <w:bCs/>
        </w:rPr>
        <w:t>Sa promjenom pH vrijednosti mijenja se relativni udio pojedinih fosfatnih vrsta u rastv</w:t>
      </w:r>
      <w:r w:rsidR="00982735">
        <w:rPr>
          <w:rFonts w:ascii="Times New Roman" w:hAnsi="Times New Roman"/>
          <w:bCs/>
        </w:rPr>
        <w:t>oru</w:t>
      </w:r>
      <w:r w:rsidR="00982735" w:rsidRPr="00982735">
        <w:rPr>
          <w:rFonts w:ascii="Times New Roman" w:hAnsi="Times New Roman"/>
          <w:bCs/>
        </w:rPr>
        <w:t>. Pri nižim pH vrijednostima preovlađuju protonovaniji oblici fosfata, dok se porastom pH povećava udio HPO₄²⁻, a PO₄³⁻ postaje dominantan tek u jako alkalnoj sredini. Smanjenje aktivnosti slobodnih fosfatnih i hidroksidnih jona podstiče dalje rastvaranje hidroksiapatita.</w:t>
      </w:r>
      <w:r w:rsidR="0002456C">
        <w:rPr>
          <w:rFonts w:ascii="Times New Roman" w:hAnsi="Times New Roman"/>
          <w:bCs/>
        </w:rPr>
        <w:t xml:space="preserve"> Promjena zastupljenosti fosfatnih jona u zavisnosti od pH vri</w:t>
      </w:r>
      <w:r w:rsidR="00243D3E">
        <w:rPr>
          <w:rFonts w:ascii="Times New Roman" w:hAnsi="Times New Roman"/>
          <w:bCs/>
        </w:rPr>
        <w:t>jednosti prik</w:t>
      </w:r>
      <w:r w:rsidR="0002456C">
        <w:rPr>
          <w:rFonts w:ascii="Times New Roman" w:hAnsi="Times New Roman"/>
          <w:bCs/>
        </w:rPr>
        <w:t>azana je na slici 2.</w:t>
      </w:r>
    </w:p>
    <w:p w:rsidR="00982735" w:rsidRPr="00607A0B" w:rsidRDefault="0002456C" w:rsidP="00846F36">
      <w:pPr>
        <w:spacing w:after="120" w:line="360" w:lineRule="auto"/>
        <w:jc w:val="center"/>
        <w:rPr>
          <w:rFonts w:ascii="Times New Roman" w:hAnsi="Times New Roman"/>
          <w:bCs/>
        </w:rPr>
      </w:pPr>
      <w:r w:rsidRPr="0002456C">
        <w:rPr>
          <w:rFonts w:ascii="Times New Roman" w:hAnsi="Times New Roman"/>
          <w:bCs/>
          <w:i/>
        </w:rPr>
        <w:t>Slika 2. Ahmed AM, Mekonnen ML, Mekonnen KN. Phosphate species distribution at different pH values. RSC Adv. 2023. Fig. 3A</w:t>
      </w:r>
      <w:r w:rsidR="00FC50AD">
        <w:rPr>
          <w:rFonts w:ascii="Times New Roman" w:hAnsi="Times New Roman" w:cs="Times New Roman"/>
          <w:bCs/>
        </w:rPr>
        <w:t>[</w:t>
      </w:r>
      <w:r w:rsidR="00FC50AD">
        <w:rPr>
          <w:rFonts w:ascii="Times New Roman" w:hAnsi="Times New Roman"/>
          <w:bCs/>
        </w:rPr>
        <w:t>8</w:t>
      </w:r>
      <w:r w:rsidR="00FC50AD">
        <w:rPr>
          <w:rFonts w:ascii="Times New Roman" w:hAnsi="Times New Roman" w:cs="Times New Roman"/>
          <w:bCs/>
        </w:rPr>
        <w:t>].</w:t>
      </w:r>
    </w:p>
    <w:p w:rsidR="00EA2E85" w:rsidRDefault="00CE590B" w:rsidP="00CE590B">
      <w:pPr>
        <w:spacing w:after="120" w:line="360" w:lineRule="auto"/>
        <w:jc w:val="both"/>
        <w:rPr>
          <w:rFonts w:ascii="Times New Roman" w:hAnsi="Times New Roman"/>
          <w:bCs/>
        </w:rPr>
      </w:pPr>
      <w:r>
        <w:rPr>
          <w:rFonts w:ascii="Times New Roman" w:hAnsi="Times New Roman"/>
          <w:bCs/>
        </w:rPr>
        <w:lastRenderedPageBreak/>
        <w:t xml:space="preserve"> </w:t>
      </w:r>
    </w:p>
    <w:p w:rsidR="00EA2E85" w:rsidRPr="008B3230" w:rsidRDefault="00EA2E85" w:rsidP="00366216">
      <w:pPr>
        <w:pStyle w:val="Heading2"/>
      </w:pPr>
      <w:bookmarkStart w:id="15" w:name="_Toc244025630"/>
      <w:r w:rsidRPr="008B3230">
        <w:t>5.2. Koncentracija kalcijumovih i fosfatnih jona</w:t>
      </w:r>
      <w:bookmarkEnd w:id="15"/>
    </w:p>
    <w:p w:rsidR="00EA2E85" w:rsidRPr="00EA2E85" w:rsidRDefault="008B3230" w:rsidP="00366216">
      <w:pPr>
        <w:spacing w:after="120" w:line="360" w:lineRule="auto"/>
        <w:jc w:val="both"/>
        <w:rPr>
          <w:rFonts w:ascii="Times New Roman" w:hAnsi="Times New Roman"/>
          <w:bCs/>
        </w:rPr>
      </w:pPr>
      <w:r>
        <w:rPr>
          <w:rFonts w:ascii="Times New Roman" w:hAnsi="Times New Roman"/>
          <w:bCs/>
        </w:rPr>
        <w:tab/>
      </w:r>
      <w:r w:rsidR="00EA2E85" w:rsidRPr="00EA2E85">
        <w:rPr>
          <w:rFonts w:ascii="Times New Roman" w:hAnsi="Times New Roman"/>
          <w:bCs/>
        </w:rPr>
        <w:t>Koncentracije kalcijumovih (Ca²⁺) i fosfatnih jona u vodenom rastvoru utiču na njegov stepen zasićenosti u odnosu na određenu mineralnu fazu. Kada su njihove aktivnosti niske, rastvaranje minerala može biti termodinamički povoljno. Povećanje aktivnosti ovih jona može dovesti do zasićenja ili prezasićenja rastvora, čime se smanjuje tendencija ka daljem rastvaranju i mogu se stvoriti uslovi za taloženje mineralne faze. Ovaj odnos objašnjava značaj jonskog sastava pljuvačke u održavanju min</w:t>
      </w:r>
      <w:r w:rsidR="006E4FFA">
        <w:rPr>
          <w:rFonts w:ascii="Times New Roman" w:hAnsi="Times New Roman"/>
          <w:bCs/>
        </w:rPr>
        <w:t>eralne stabilnosti zubnih tkiva.</w:t>
      </w:r>
      <w:r w:rsidR="006E4FFA" w:rsidRPr="006E4FFA">
        <w:t xml:space="preserve"> </w:t>
      </w:r>
      <w:r w:rsidR="006E4FFA" w:rsidRPr="006E4FFA">
        <w:rPr>
          <w:rFonts w:ascii="Times New Roman" w:hAnsi="Times New Roman"/>
          <w:bCs/>
        </w:rPr>
        <w:t xml:space="preserve">Eksperimentalna istraživanja rastvaranja gleđi i hidroksiapatita u limunskoj kiselini pokazuju da dodatak kalcijuma i fosfata ne djeluje jednako u svim uslovima </w:t>
      </w:r>
      <w:r w:rsidR="00EA2E85" w:rsidRPr="00EA2E85">
        <w:rPr>
          <w:rFonts w:ascii="Times New Roman" w:hAnsi="Times New Roman"/>
          <w:bCs/>
        </w:rPr>
        <w:t>[</w:t>
      </w:r>
      <w:r w:rsidR="00555DB5">
        <w:rPr>
          <w:rFonts w:ascii="Times New Roman" w:hAnsi="Times New Roman"/>
          <w:bCs/>
        </w:rPr>
        <w:t>4,5</w:t>
      </w:r>
      <w:r w:rsidR="00EA2E85" w:rsidRPr="00EA2E85">
        <w:rPr>
          <w:rFonts w:ascii="Times New Roman" w:hAnsi="Times New Roman"/>
          <w:bCs/>
        </w:rPr>
        <w:t>].</w:t>
      </w:r>
      <w:r w:rsidR="00CE590B" w:rsidRPr="00CE590B">
        <w:rPr>
          <w:rFonts w:ascii="Times New Roman" w:hAnsi="Times New Roman"/>
          <w:bCs/>
        </w:rPr>
        <w:t xml:space="preserve"> </w:t>
      </w:r>
    </w:p>
    <w:p w:rsidR="004C7F0E" w:rsidRPr="008B3230" w:rsidRDefault="00EA2E85" w:rsidP="00366216">
      <w:pPr>
        <w:pStyle w:val="Heading2"/>
      </w:pPr>
      <w:bookmarkStart w:id="16" w:name="_Toc244025631"/>
      <w:r w:rsidRPr="008B3230">
        <w:t>5.3. Ostali faktori</w:t>
      </w:r>
      <w:bookmarkEnd w:id="16"/>
      <w:r w:rsidR="004C7F0E" w:rsidRPr="008B3230">
        <w:t xml:space="preserve"> </w:t>
      </w:r>
    </w:p>
    <w:p w:rsidR="008B3230" w:rsidRDefault="008B3230" w:rsidP="00366216">
      <w:pPr>
        <w:spacing w:after="120" w:line="360" w:lineRule="auto"/>
        <w:jc w:val="both"/>
        <w:rPr>
          <w:rFonts w:ascii="Times New Roman" w:hAnsi="Times New Roman"/>
          <w:bCs/>
        </w:rPr>
      </w:pPr>
      <w:r>
        <w:rPr>
          <w:rFonts w:ascii="Times New Roman" w:hAnsi="Times New Roman"/>
          <w:bCs/>
        </w:rPr>
        <w:tab/>
      </w:r>
      <w:r w:rsidR="00EA2E85" w:rsidRPr="00EA2E85">
        <w:rPr>
          <w:rFonts w:ascii="Times New Roman" w:hAnsi="Times New Roman"/>
          <w:bCs/>
        </w:rPr>
        <w:t>Na rastvorljivost kalcijum-fosfata utiču i temperatura, jonska jačina, sastav rastvora i osobine samog minerala. Temperatura može promijeniti ravnotežne konstante i stabilnost pojedinih faza, dok jonska jačina utiče na aktivnosti jona u rastvoru. Prisustvo drugih jona, poput fluoridnih, karbonatnih i magnezijumovih, može promijeniti strukturu i svojstva mineralne faze. Pored toga, kristaliničnost, veličina čestica i specifična površina minerala utiču na brzinu rastvaranja. Zbog međusobnog djelovanja ovih faktora, rastvorljivost se mora razmatrati u konkretnim uslovima vodenog sistema, a ne kao univerzalna vrijednost nezavisna od sastava sredine [</w:t>
      </w:r>
      <w:r w:rsidR="00555DB5">
        <w:rPr>
          <w:rFonts w:ascii="Times New Roman" w:hAnsi="Times New Roman"/>
          <w:bCs/>
        </w:rPr>
        <w:t>4,5</w:t>
      </w:r>
      <w:r w:rsidR="00EA2E85" w:rsidRPr="00EA2E85">
        <w:rPr>
          <w:rFonts w:ascii="Times New Roman" w:hAnsi="Times New Roman"/>
          <w:bCs/>
        </w:rPr>
        <w:t>].</w:t>
      </w:r>
    </w:p>
    <w:p w:rsidR="00422F16" w:rsidRDefault="00422F16" w:rsidP="00366216">
      <w:pPr>
        <w:spacing w:after="120" w:line="360" w:lineRule="auto"/>
        <w:jc w:val="both"/>
        <w:rPr>
          <w:rFonts w:ascii="Times New Roman" w:hAnsi="Times New Roman"/>
          <w:bCs/>
        </w:rPr>
      </w:pPr>
    </w:p>
    <w:p w:rsidR="00422F16" w:rsidRDefault="00422F16" w:rsidP="00366216">
      <w:pPr>
        <w:spacing w:after="120" w:line="360" w:lineRule="auto"/>
        <w:jc w:val="both"/>
        <w:rPr>
          <w:rFonts w:ascii="Times New Roman" w:hAnsi="Times New Roman"/>
          <w:bCs/>
        </w:rPr>
      </w:pPr>
    </w:p>
    <w:p w:rsidR="00422F16" w:rsidRDefault="00422F16" w:rsidP="00366216">
      <w:pPr>
        <w:spacing w:after="120" w:line="360" w:lineRule="auto"/>
        <w:jc w:val="both"/>
        <w:rPr>
          <w:rFonts w:ascii="Times New Roman" w:hAnsi="Times New Roman"/>
          <w:bCs/>
        </w:rPr>
      </w:pPr>
    </w:p>
    <w:p w:rsidR="00422F16" w:rsidRDefault="00422F16" w:rsidP="00366216">
      <w:pPr>
        <w:spacing w:after="120" w:line="360" w:lineRule="auto"/>
        <w:jc w:val="both"/>
        <w:rPr>
          <w:rFonts w:ascii="Times New Roman" w:hAnsi="Times New Roman"/>
          <w:bCs/>
        </w:rPr>
      </w:pPr>
    </w:p>
    <w:p w:rsidR="00422F16" w:rsidRDefault="00422F16" w:rsidP="00366216">
      <w:pPr>
        <w:spacing w:after="120" w:line="360" w:lineRule="auto"/>
        <w:jc w:val="both"/>
        <w:rPr>
          <w:rFonts w:ascii="Times New Roman" w:hAnsi="Times New Roman"/>
          <w:bCs/>
        </w:rPr>
      </w:pPr>
    </w:p>
    <w:p w:rsidR="00422F16" w:rsidRDefault="00422F16" w:rsidP="00366216">
      <w:pPr>
        <w:spacing w:after="120" w:line="360" w:lineRule="auto"/>
        <w:jc w:val="both"/>
        <w:rPr>
          <w:rFonts w:ascii="Times New Roman" w:hAnsi="Times New Roman"/>
          <w:bCs/>
        </w:rPr>
      </w:pPr>
    </w:p>
    <w:p w:rsidR="00464BF6" w:rsidRDefault="00464BF6" w:rsidP="00366216">
      <w:pPr>
        <w:spacing w:after="120" w:line="360" w:lineRule="auto"/>
        <w:jc w:val="both"/>
        <w:rPr>
          <w:rFonts w:ascii="Times New Roman" w:hAnsi="Times New Roman"/>
          <w:bCs/>
        </w:rPr>
      </w:pPr>
    </w:p>
    <w:p w:rsidR="00464BF6" w:rsidRDefault="00464BF6" w:rsidP="00366216">
      <w:pPr>
        <w:spacing w:after="120" w:line="360" w:lineRule="auto"/>
        <w:jc w:val="both"/>
        <w:rPr>
          <w:rFonts w:ascii="Times New Roman" w:hAnsi="Times New Roman"/>
          <w:bCs/>
        </w:rPr>
      </w:pPr>
    </w:p>
    <w:p w:rsidR="00366216" w:rsidRPr="00366216" w:rsidRDefault="003172E2" w:rsidP="00366216">
      <w:pPr>
        <w:pStyle w:val="Heading1"/>
      </w:pPr>
      <w:bookmarkStart w:id="17" w:name="_Toc244025632"/>
      <w:r w:rsidRPr="008B3230">
        <w:lastRenderedPageBreak/>
        <w:t xml:space="preserve">6. </w:t>
      </w:r>
      <w:r w:rsidR="008B3230" w:rsidRPr="008B3230">
        <w:t>ZNAČAJ RASTVORLJIVOSTI KALCIJUM-FOSFATA U STOMATOLOGIJI</w:t>
      </w:r>
      <w:bookmarkEnd w:id="17"/>
    </w:p>
    <w:p w:rsidR="004C7F0E" w:rsidRPr="008B3230" w:rsidRDefault="008B3230" w:rsidP="00366216">
      <w:pPr>
        <w:pStyle w:val="BodyText"/>
        <w:spacing w:after="120" w:line="360" w:lineRule="auto"/>
        <w:jc w:val="both"/>
        <w:rPr>
          <w:rFonts w:ascii="Times New Roman" w:hAnsi="Times New Roman" w:cs="Times New Roman"/>
        </w:rPr>
      </w:pPr>
      <w:r>
        <w:rPr>
          <w:rFonts w:ascii="Times New Roman" w:hAnsi="Times New Roman" w:cs="Times New Roman"/>
        </w:rPr>
        <w:tab/>
      </w:r>
      <w:r w:rsidR="004C7F0E" w:rsidRPr="008B3230">
        <w:rPr>
          <w:rFonts w:ascii="Times New Roman" w:hAnsi="Times New Roman" w:cs="Times New Roman"/>
        </w:rPr>
        <w:t xml:space="preserve">Rastvorljivost kalcijum-fosfata u vodenoj sredini ima veliki značaj u stomatologiji jer neposredno utiče na stabilnost mineralne strukture zuba, očuvanje zubne gleđi i ravnotežu procesa demineralizacije i remineralizacije. </w:t>
      </w:r>
    </w:p>
    <w:p w:rsidR="004C7F0E" w:rsidRPr="008B3230" w:rsidRDefault="008B3230" w:rsidP="00366216">
      <w:pPr>
        <w:pStyle w:val="BodyText"/>
        <w:spacing w:after="120" w:line="360" w:lineRule="auto"/>
        <w:jc w:val="both"/>
        <w:rPr>
          <w:rFonts w:ascii="Times New Roman" w:hAnsi="Times New Roman" w:cs="Times New Roman"/>
        </w:rPr>
      </w:pPr>
      <w:r>
        <w:rPr>
          <w:rFonts w:ascii="Times New Roman" w:hAnsi="Times New Roman" w:cs="Times New Roman"/>
        </w:rPr>
        <w:tab/>
      </w:r>
      <w:r w:rsidR="004C7F0E" w:rsidRPr="008B3230">
        <w:rPr>
          <w:rFonts w:ascii="Times New Roman" w:hAnsi="Times New Roman" w:cs="Times New Roman"/>
        </w:rPr>
        <w:t>U uslovima sniženog pH, koji se javljaju usljed djelovanja kiselina nastalih metabolizmom bakterija dentalnog plaka ili unošenjem kisele hrane i napitaka, povećava se rastvaranje minerala zubne gleđi. Ovaj proces, poznat kao demineralizacija, dovodi do oslobađanja kalcijumovih i fosfatnih jona iz kristalne strukture hidroksiapatita. Ukoliko se takvi uslovi ponavljaju i proces rastvaranja nadmaši obnavljanje minerala, dolazi do postepenog gubitka mineralne materije i poveća</w:t>
      </w:r>
      <w:r w:rsidR="009621CF">
        <w:rPr>
          <w:rFonts w:ascii="Times New Roman" w:hAnsi="Times New Roman" w:cs="Times New Roman"/>
        </w:rPr>
        <w:t xml:space="preserve">nja rizika od nastanka karijesa </w:t>
      </w:r>
      <w:r w:rsidR="004C7F0E" w:rsidRPr="008B3230">
        <w:rPr>
          <w:rFonts w:ascii="Times New Roman" w:hAnsi="Times New Roman" w:cs="Times New Roman"/>
        </w:rPr>
        <w:t>[5,6]</w:t>
      </w:r>
      <w:r w:rsidR="009621CF">
        <w:rPr>
          <w:rFonts w:ascii="Times New Roman" w:hAnsi="Times New Roman" w:cs="Times New Roman"/>
        </w:rPr>
        <w:t>.</w:t>
      </w:r>
    </w:p>
    <w:p w:rsidR="004C7F0E" w:rsidRDefault="008B3230" w:rsidP="00366216">
      <w:pPr>
        <w:pStyle w:val="BodyText"/>
        <w:spacing w:after="120" w:line="360" w:lineRule="auto"/>
        <w:jc w:val="both"/>
        <w:rPr>
          <w:rFonts w:ascii="Times New Roman" w:hAnsi="Times New Roman" w:cs="Times New Roman"/>
        </w:rPr>
      </w:pPr>
      <w:r>
        <w:rPr>
          <w:rFonts w:ascii="Times New Roman" w:hAnsi="Times New Roman" w:cs="Times New Roman"/>
        </w:rPr>
        <w:tab/>
      </w:r>
      <w:r w:rsidR="004C7F0E" w:rsidRPr="008B3230">
        <w:rPr>
          <w:rFonts w:ascii="Times New Roman" w:hAnsi="Times New Roman" w:cs="Times New Roman"/>
        </w:rPr>
        <w:t>Nasuprot tome, pljuvačka predstavlja važnu zaštitnu sredinu jer obezbjeđuje kalcijumove i fosfatne jone, doprinosi neutralizaciji kiselina i omogućava ponovno taloženje mineralnih jedinjenja na površini zuba. Ovaj proces naziva se remineralizacija. Kada je sredina dovoljno zasićena odgovarajućim jonima, rastvaranje hidroksiapatita se smanjuje, a mogu se stvoriti uslovi za obnovu dj</w:t>
      </w:r>
      <w:r w:rsidR="009621CF">
        <w:rPr>
          <w:rFonts w:ascii="Times New Roman" w:hAnsi="Times New Roman" w:cs="Times New Roman"/>
        </w:rPr>
        <w:t xml:space="preserve">elimično demineralizovane gleđi </w:t>
      </w:r>
      <w:r w:rsidR="004C7F0E" w:rsidRPr="008B3230">
        <w:rPr>
          <w:rFonts w:ascii="Times New Roman" w:hAnsi="Times New Roman" w:cs="Times New Roman"/>
        </w:rPr>
        <w:t>[5]</w:t>
      </w:r>
      <w:r w:rsidR="009621CF">
        <w:rPr>
          <w:rFonts w:ascii="Times New Roman" w:hAnsi="Times New Roman" w:cs="Times New Roman"/>
        </w:rPr>
        <w:t>.</w:t>
      </w:r>
    </w:p>
    <w:p w:rsidR="006E4FFA" w:rsidRPr="008B3230" w:rsidRDefault="006E4FFA" w:rsidP="00366216">
      <w:pPr>
        <w:pStyle w:val="BodyText"/>
        <w:spacing w:after="120" w:line="360" w:lineRule="auto"/>
        <w:jc w:val="both"/>
        <w:rPr>
          <w:rFonts w:ascii="Times New Roman" w:hAnsi="Times New Roman" w:cs="Times New Roman"/>
        </w:rPr>
      </w:pPr>
      <w:r>
        <w:rPr>
          <w:rFonts w:ascii="Times New Roman" w:hAnsi="Times New Roman" w:cs="Times New Roman"/>
        </w:rPr>
        <w:t xml:space="preserve">        </w:t>
      </w:r>
      <w:r w:rsidRPr="006E4FFA">
        <w:rPr>
          <w:rFonts w:ascii="Times New Roman" w:hAnsi="Times New Roman" w:cs="Times New Roman"/>
        </w:rPr>
        <w:t xml:space="preserve">Fluoridi smanjuju demineralizaciju i podržavaju remineralizaciju. Njihovo prisustvo može doprinijeti formiranju mineralne faze manje podložne kiselom rastvaranju, dok fluoridni preparati u oralnoj njezi predstavljaju važan dio prevencije karijesa. Sintetički hidroksiapatit se takođe proučava kao biomimetički sastojak preparata za oralnu njegu, ali njegov efekat zavisi od formulacije </w:t>
      </w:r>
      <w:r>
        <w:rPr>
          <w:rFonts w:ascii="Times New Roman" w:hAnsi="Times New Roman" w:cs="Times New Roman"/>
        </w:rPr>
        <w:t>i konkretne kliničke primjene [</w:t>
      </w:r>
      <w:r w:rsidRPr="006E4FFA">
        <w:rPr>
          <w:rFonts w:ascii="Times New Roman" w:hAnsi="Times New Roman" w:cs="Times New Roman"/>
        </w:rPr>
        <w:t>6].</w:t>
      </w:r>
    </w:p>
    <w:p w:rsidR="004C7F0E" w:rsidRPr="008B3230" w:rsidRDefault="008B3230" w:rsidP="00366216">
      <w:pPr>
        <w:pStyle w:val="BodyText"/>
        <w:spacing w:after="120" w:line="360" w:lineRule="auto"/>
        <w:jc w:val="both"/>
        <w:rPr>
          <w:rFonts w:ascii="Times New Roman" w:hAnsi="Times New Roman" w:cs="Times New Roman"/>
        </w:rPr>
      </w:pPr>
      <w:r>
        <w:rPr>
          <w:rFonts w:ascii="Times New Roman" w:hAnsi="Times New Roman" w:cs="Times New Roman"/>
        </w:rPr>
        <w:tab/>
      </w:r>
      <w:r w:rsidR="004C7F0E" w:rsidRPr="008B3230">
        <w:rPr>
          <w:rFonts w:ascii="Times New Roman" w:hAnsi="Times New Roman" w:cs="Times New Roman"/>
        </w:rPr>
        <w:t>Poznavanje rastvorljivosti kalcijum-fosfata značajno je i za razvoj stomatoloških materijala. Kalcijum-fosfatna jedinjenja primjenjuju se u biomaterijalima namijenjenim regeneraciji tvrdih tkiva, a njihova rastvorljivost utiče na oslobađanje jona, resorpciju materijala i stv</w:t>
      </w:r>
      <w:r w:rsidR="009621CF">
        <w:rPr>
          <w:rFonts w:ascii="Times New Roman" w:hAnsi="Times New Roman" w:cs="Times New Roman"/>
        </w:rPr>
        <w:t xml:space="preserve">aranje uslova za mineralizaciju </w:t>
      </w:r>
      <w:r w:rsidR="004C7F0E" w:rsidRPr="008B3230">
        <w:rPr>
          <w:rFonts w:ascii="Times New Roman" w:hAnsi="Times New Roman" w:cs="Times New Roman"/>
        </w:rPr>
        <w:t>[6]</w:t>
      </w:r>
      <w:r w:rsidR="009621CF">
        <w:rPr>
          <w:rFonts w:ascii="Times New Roman" w:hAnsi="Times New Roman" w:cs="Times New Roman"/>
        </w:rPr>
        <w:t>.</w:t>
      </w:r>
    </w:p>
    <w:p w:rsidR="004C7F0E" w:rsidRPr="008B3230" w:rsidRDefault="008B3230" w:rsidP="00366216">
      <w:pPr>
        <w:pStyle w:val="BodyText"/>
        <w:spacing w:after="120" w:line="360" w:lineRule="auto"/>
        <w:jc w:val="both"/>
        <w:rPr>
          <w:rFonts w:ascii="Times New Roman" w:hAnsi="Times New Roman" w:cs="Times New Roman"/>
        </w:rPr>
      </w:pPr>
      <w:r>
        <w:rPr>
          <w:rFonts w:ascii="Times New Roman" w:hAnsi="Times New Roman" w:cs="Times New Roman"/>
        </w:rPr>
        <w:tab/>
      </w:r>
      <w:r w:rsidR="004C7F0E" w:rsidRPr="008B3230">
        <w:rPr>
          <w:rFonts w:ascii="Times New Roman" w:hAnsi="Times New Roman" w:cs="Times New Roman"/>
        </w:rPr>
        <w:t>Prema tome, proučavanje rastvorljivosti kalcijum-fosfata u vodenoj sredini povezuje osnovne principe hemijske ravnoteže sa praktičnim problemima stomatologije. Razumijevanje uticaja pH vrijednosti i koncentracije jona omogućava bolje objašnjenje nastanka karijesa, zaštitne uloge pljuvačke, procesa remineralizacije i primjene biomaterijala u očuvanju i obnovi tvrdih zubnih tkiva.</w:t>
      </w:r>
    </w:p>
    <w:p w:rsidR="005E0A31" w:rsidRDefault="004B49BC">
      <w:pPr>
        <w:spacing w:line="360" w:lineRule="auto"/>
        <w:rPr>
          <w:rFonts w:ascii="Times New Roman" w:hAnsi="Times New Roman"/>
        </w:rPr>
      </w:pPr>
      <w:r>
        <w:rPr>
          <w:rFonts w:ascii="Times New Roman" w:hAnsi="Times New Roman"/>
        </w:rPr>
        <w:tab/>
      </w:r>
    </w:p>
    <w:p w:rsidR="00955544" w:rsidRPr="00073041" w:rsidRDefault="004B49BC" w:rsidP="00073041">
      <w:pPr>
        <w:pStyle w:val="Heading1"/>
      </w:pPr>
      <w:r>
        <w:br w:type="page"/>
      </w:r>
      <w:bookmarkStart w:id="18" w:name="__RefHeading___Toc251_328499454"/>
      <w:bookmarkStart w:id="19" w:name="_Toc244025633"/>
      <w:bookmarkEnd w:id="18"/>
      <w:r w:rsidRPr="00366216">
        <w:lastRenderedPageBreak/>
        <w:t>7. ZAKLJUČAK</w:t>
      </w:r>
      <w:bookmarkEnd w:id="19"/>
    </w:p>
    <w:p w:rsidR="00F44ACF" w:rsidRPr="00F44ACF" w:rsidRDefault="00955544" w:rsidP="00F44ACF">
      <w:pPr>
        <w:spacing w:after="120" w:line="360" w:lineRule="auto"/>
        <w:jc w:val="both"/>
        <w:rPr>
          <w:rFonts w:ascii="Times New Roman" w:hAnsi="Times New Roman"/>
        </w:rPr>
      </w:pPr>
      <w:r>
        <w:rPr>
          <w:rFonts w:ascii="Times New Roman" w:hAnsi="Times New Roman"/>
        </w:rPr>
        <w:t xml:space="preserve">            </w:t>
      </w:r>
      <w:r w:rsidR="00991DD1" w:rsidRPr="00991DD1">
        <w:rPr>
          <w:rFonts w:ascii="Times New Roman" w:hAnsi="Times New Roman"/>
        </w:rPr>
        <w:t xml:space="preserve">Rastvorljivost hidroksiapatita i drugih kalcijum-fosfata u vodenim sredinama uslovljena je njihovim hemijskim sastavom, strukturom i fizičko-hemijskim karakteristikama sredine. </w:t>
      </w:r>
      <w:r w:rsidR="00F44ACF">
        <w:rPr>
          <w:rFonts w:ascii="Times New Roman" w:hAnsi="Times New Roman"/>
        </w:rPr>
        <w:t xml:space="preserve">Zavisi </w:t>
      </w:r>
      <w:r w:rsidR="00F44ACF" w:rsidRPr="00F44ACF">
        <w:rPr>
          <w:rFonts w:ascii="Times New Roman" w:hAnsi="Times New Roman"/>
        </w:rPr>
        <w:t>prvenstveno od pH vrijednosti i koncentracije kalcijumovih i fosfatnih jona. Ovi faktori utiču na ravnotežu između rastvaranja i taloženja mineralne faze.</w:t>
      </w:r>
    </w:p>
    <w:p w:rsidR="00F44ACF" w:rsidRPr="00F44ACF" w:rsidRDefault="00422F16" w:rsidP="00F44ACF">
      <w:pPr>
        <w:spacing w:after="120" w:line="360" w:lineRule="auto"/>
        <w:jc w:val="both"/>
        <w:rPr>
          <w:rFonts w:ascii="Times New Roman" w:hAnsi="Times New Roman"/>
        </w:rPr>
      </w:pPr>
      <w:r>
        <w:rPr>
          <w:rFonts w:ascii="Times New Roman" w:hAnsi="Times New Roman"/>
        </w:rPr>
        <w:tab/>
      </w:r>
      <w:r w:rsidR="00F44ACF" w:rsidRPr="00F44ACF">
        <w:rPr>
          <w:rFonts w:ascii="Times New Roman" w:hAnsi="Times New Roman"/>
        </w:rPr>
        <w:t>U stomatologiji je rastvorljivost posebno značajna za očuvanje mineralne strukture zuba. Kisela sredina podstiče rastvaranje hidroksiapatita i demineralizaciju gleđi, dok pljuvačka obezbjeđuje uslove za neutralizaciju kiselina i ponovno taloženje minerala. Kada demineralizacija nadmaši remineralizaciju, povećava</w:t>
      </w:r>
      <w:r w:rsidR="00F44ACF">
        <w:rPr>
          <w:rFonts w:ascii="Times New Roman" w:hAnsi="Times New Roman"/>
        </w:rPr>
        <w:t xml:space="preserve"> se rizik od nastanka karijesa.</w:t>
      </w:r>
    </w:p>
    <w:p w:rsidR="00955544" w:rsidRPr="00955544" w:rsidRDefault="00422F16" w:rsidP="00F44ACF">
      <w:pPr>
        <w:spacing w:after="120" w:line="360" w:lineRule="auto"/>
        <w:jc w:val="both"/>
        <w:rPr>
          <w:rFonts w:ascii="Times New Roman" w:hAnsi="Times New Roman"/>
        </w:rPr>
      </w:pPr>
      <w:r>
        <w:rPr>
          <w:rFonts w:ascii="Times New Roman" w:hAnsi="Times New Roman"/>
        </w:rPr>
        <w:tab/>
      </w:r>
      <w:r w:rsidR="00F44ACF" w:rsidRPr="00F44ACF">
        <w:rPr>
          <w:rFonts w:ascii="Times New Roman" w:hAnsi="Times New Roman"/>
        </w:rPr>
        <w:t>Poznavanje rastvorljivosti kalcijum-fosfata zato je važno za razumijevanje hemijskih procesa u zubnim tkivima, prevenciju karijesa i razvoj stomatoloških biomaterijala.</w:t>
      </w:r>
    </w:p>
    <w:p w:rsidR="005E0A31" w:rsidRDefault="005E0A31">
      <w:pPr>
        <w:spacing w:line="360" w:lineRule="auto"/>
        <w:rPr>
          <w:rFonts w:ascii="Times New Roman" w:hAnsi="Times New Roman"/>
        </w:rPr>
      </w:pPr>
    </w:p>
    <w:p w:rsidR="005E0A31" w:rsidRDefault="005E0A31">
      <w:pPr>
        <w:spacing w:line="360" w:lineRule="auto"/>
        <w:rPr>
          <w:rFonts w:ascii="Times New Roman" w:hAnsi="Times New Roman"/>
        </w:rPr>
      </w:pPr>
    </w:p>
    <w:p w:rsidR="00073041" w:rsidRDefault="00073041">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422F16" w:rsidRDefault="00422F16">
      <w:pPr>
        <w:spacing w:line="360" w:lineRule="auto"/>
        <w:rPr>
          <w:rFonts w:ascii="Times New Roman" w:hAnsi="Times New Roman"/>
        </w:rPr>
      </w:pPr>
    </w:p>
    <w:p w:rsidR="00955544" w:rsidRPr="00422F16" w:rsidRDefault="00955544" w:rsidP="00422F16">
      <w:pPr>
        <w:pStyle w:val="Heading1"/>
        <w:rPr>
          <w:sz w:val="24"/>
          <w:szCs w:val="24"/>
        </w:rPr>
      </w:pPr>
      <w:bookmarkStart w:id="20" w:name="_Toc244025634"/>
      <w:r w:rsidRPr="008B3230">
        <w:lastRenderedPageBreak/>
        <w:t>8. LITERATURA</w:t>
      </w:r>
      <w:bookmarkEnd w:id="20"/>
    </w:p>
    <w:p w:rsidR="009621CF" w:rsidRPr="00CE590B" w:rsidRDefault="009621CF" w:rsidP="00422F16">
      <w:pPr>
        <w:pStyle w:val="ListParagraph"/>
        <w:numPr>
          <w:ilvl w:val="0"/>
          <w:numId w:val="16"/>
        </w:numPr>
        <w:spacing w:line="360" w:lineRule="auto"/>
        <w:jc w:val="both"/>
        <w:rPr>
          <w:rFonts w:ascii="Times New Roman" w:hAnsi="Times New Roman"/>
          <w:szCs w:val="24"/>
        </w:rPr>
      </w:pPr>
      <w:r w:rsidRPr="00CE590B">
        <w:rPr>
          <w:rFonts w:ascii="Times New Roman" w:hAnsi="Times New Roman"/>
          <w:szCs w:val="24"/>
        </w:rPr>
        <w:t>Larsen MJ, Jensen SJ. The hydroxyapatite solubility product of human dental enamel as a function of pH in the range 4.6–7.6 at 20 °C. Arch Oral Biol. 1989;34(12):957–961. doi:10.1016/0003-9969(89)90052-6.</w:t>
      </w:r>
    </w:p>
    <w:p w:rsidR="009621CF" w:rsidRPr="00CE590B" w:rsidRDefault="009621CF" w:rsidP="00422F16">
      <w:pPr>
        <w:pStyle w:val="ListParagraph"/>
        <w:numPr>
          <w:ilvl w:val="0"/>
          <w:numId w:val="16"/>
        </w:numPr>
        <w:spacing w:line="360" w:lineRule="auto"/>
        <w:jc w:val="both"/>
        <w:rPr>
          <w:rFonts w:ascii="Times New Roman" w:hAnsi="Times New Roman"/>
          <w:szCs w:val="24"/>
        </w:rPr>
      </w:pPr>
      <w:r w:rsidRPr="00CE590B">
        <w:rPr>
          <w:rFonts w:ascii="Times New Roman" w:hAnsi="Times New Roman"/>
          <w:szCs w:val="24"/>
        </w:rPr>
        <w:t>Shellis RP, Barbour ME, Parker DM, Addy M, Lussi A. Effects of calcium and phosphate on dissolution of enamel, dentin and hydroxyapatite in citric acid. Swiss Dent J. 2023;133(7–8):432–438. doi:10.61872/sdj-2023-07-08-02.</w:t>
      </w:r>
    </w:p>
    <w:p w:rsidR="009621CF" w:rsidRPr="00CE590B" w:rsidRDefault="009621CF" w:rsidP="00422F16">
      <w:pPr>
        <w:pStyle w:val="ListParagraph"/>
        <w:numPr>
          <w:ilvl w:val="0"/>
          <w:numId w:val="16"/>
        </w:numPr>
        <w:spacing w:line="360" w:lineRule="auto"/>
        <w:jc w:val="both"/>
        <w:rPr>
          <w:rFonts w:ascii="Times New Roman" w:hAnsi="Times New Roman"/>
          <w:szCs w:val="24"/>
        </w:rPr>
      </w:pPr>
      <w:r w:rsidRPr="00CE590B">
        <w:rPr>
          <w:rFonts w:ascii="Times New Roman" w:hAnsi="Times New Roman"/>
          <w:szCs w:val="24"/>
        </w:rPr>
        <w:t>Enax J, Epple M. Synthetic hydroxyapatite as a biomimetic oral care agent. Oral Health Prev Dent. 2018;16(1):7–19. doi:10.3290/j.ohpd.a39690.</w:t>
      </w:r>
    </w:p>
    <w:p w:rsidR="009621CF" w:rsidRPr="00CE590B" w:rsidRDefault="009621CF" w:rsidP="00422F16">
      <w:pPr>
        <w:pStyle w:val="ListParagraph"/>
        <w:numPr>
          <w:ilvl w:val="0"/>
          <w:numId w:val="16"/>
        </w:numPr>
        <w:spacing w:line="360" w:lineRule="auto"/>
        <w:jc w:val="both"/>
        <w:rPr>
          <w:rFonts w:ascii="Times New Roman" w:hAnsi="Times New Roman"/>
          <w:szCs w:val="24"/>
        </w:rPr>
      </w:pPr>
      <w:r w:rsidRPr="00CE590B">
        <w:rPr>
          <w:rFonts w:ascii="Times New Roman" w:hAnsi="Times New Roman"/>
          <w:szCs w:val="24"/>
        </w:rPr>
        <w:t>Dorozhkin SV. Calcium orthophosphates: occurrence, properties, biomineralisation, pathological calcification and biomimetic applications. Biomatter. 2011;1(2):121–164. doi:10.4161/biom.18790.</w:t>
      </w:r>
    </w:p>
    <w:p w:rsidR="009621CF" w:rsidRPr="00CE590B" w:rsidRDefault="009621CF" w:rsidP="00422F16">
      <w:pPr>
        <w:pStyle w:val="ListParagraph"/>
        <w:numPr>
          <w:ilvl w:val="0"/>
          <w:numId w:val="16"/>
        </w:numPr>
        <w:spacing w:line="360" w:lineRule="auto"/>
        <w:jc w:val="both"/>
        <w:rPr>
          <w:rFonts w:ascii="Times New Roman" w:hAnsi="Times New Roman"/>
          <w:szCs w:val="24"/>
        </w:rPr>
      </w:pPr>
      <w:r w:rsidRPr="00CE590B">
        <w:rPr>
          <w:rFonts w:ascii="Times New Roman" w:hAnsi="Times New Roman"/>
          <w:szCs w:val="24"/>
        </w:rPr>
        <w:t>Jelovčić I. Remineralizacija tvrdih zubnih tkiva – suvremene spoznaje [diplomski rad]. Zagreb: Sveučilište u Zagrebu, Stomatološki fakultet; 2021.</w:t>
      </w:r>
    </w:p>
    <w:p w:rsidR="00FC50AD" w:rsidRDefault="009621CF" w:rsidP="00FC50AD">
      <w:pPr>
        <w:pStyle w:val="ListParagraph"/>
        <w:numPr>
          <w:ilvl w:val="0"/>
          <w:numId w:val="16"/>
        </w:numPr>
        <w:spacing w:line="360" w:lineRule="auto"/>
        <w:jc w:val="both"/>
        <w:rPr>
          <w:rFonts w:ascii="Times New Roman" w:hAnsi="Times New Roman"/>
          <w:szCs w:val="24"/>
        </w:rPr>
      </w:pPr>
      <w:r w:rsidRPr="00CE590B">
        <w:rPr>
          <w:rFonts w:ascii="Times New Roman" w:hAnsi="Times New Roman"/>
          <w:szCs w:val="24"/>
        </w:rPr>
        <w:t>Kovač I. Fluoridi i hidroksiapatit u terapiji promjena tvrdih zubnih tkiva [diplomski rad]. Zagreb: Sveučilište u Zagrebu, Stomatološki fakultet; 2018.</w:t>
      </w:r>
    </w:p>
    <w:p w:rsidR="00FC50AD" w:rsidRPr="00FC50AD" w:rsidRDefault="00FC50AD" w:rsidP="00FC50AD">
      <w:pPr>
        <w:pStyle w:val="ListParagraph"/>
        <w:numPr>
          <w:ilvl w:val="0"/>
          <w:numId w:val="16"/>
        </w:numPr>
        <w:spacing w:line="360" w:lineRule="auto"/>
        <w:jc w:val="both"/>
        <w:rPr>
          <w:rFonts w:ascii="Times New Roman" w:hAnsi="Times New Roman"/>
          <w:szCs w:val="24"/>
        </w:rPr>
      </w:pPr>
      <w:r w:rsidRPr="00FC50AD">
        <w:rPr>
          <w:rFonts w:ascii="Times New Roman" w:hAnsi="Times New Roman"/>
          <w:szCs w:val="24"/>
        </w:rPr>
        <w:t>Kumar R, Mohanty S. Hydroxyapatite: A Versatile Bioceramic for Tissue Engineering Application. J Inorg Organomet Polym Mater. 2022;32:4461–4477. doi:10.1007/s10904-022-02454-2.</w:t>
      </w:r>
    </w:p>
    <w:p w:rsidR="00FC50AD" w:rsidRPr="00FC50AD" w:rsidRDefault="00FC50AD" w:rsidP="00FC50AD">
      <w:pPr>
        <w:pStyle w:val="ListParagraph"/>
        <w:numPr>
          <w:ilvl w:val="0"/>
          <w:numId w:val="16"/>
        </w:numPr>
        <w:spacing w:line="360" w:lineRule="auto"/>
        <w:jc w:val="both"/>
        <w:rPr>
          <w:rFonts w:ascii="Times New Roman" w:hAnsi="Times New Roman"/>
          <w:szCs w:val="24"/>
        </w:rPr>
      </w:pPr>
      <w:r w:rsidRPr="00FC50AD">
        <w:rPr>
          <w:rFonts w:ascii="Times New Roman" w:hAnsi="Times New Roman"/>
          <w:szCs w:val="24"/>
        </w:rPr>
        <w:t>Ahmed AM, Mekonnen ML, Mekonnen KN. Polymer-based nanocomposite adsorbents for resource recovery from wastewater. RSC Adv. 2023. doi:10.1039/D3RA05453E.</w:t>
      </w:r>
      <w:bookmarkStart w:id="21" w:name="_GoBack"/>
      <w:bookmarkEnd w:id="21"/>
    </w:p>
    <w:sectPr w:rsidR="00FC50AD" w:rsidRPr="00FC50AD" w:rsidSect="00AC540A">
      <w:footerReference w:type="default" r:id="rId11"/>
      <w:pgSz w:w="11906" w:h="16838"/>
      <w:pgMar w:top="1134" w:right="1134" w:bottom="1693" w:left="1134" w:header="0" w:footer="1134" w:gutter="0"/>
      <w:pgNumType w:start="1" w:chapStyle="1"/>
      <w:cols w:space="720"/>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3B15" w:rsidRDefault="000D3B15">
      <w:r>
        <w:separator/>
      </w:r>
    </w:p>
  </w:endnote>
  <w:endnote w:type="continuationSeparator" w:id="0">
    <w:p w:rsidR="000D3B15" w:rsidRDefault="000D3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default"/>
  </w:font>
  <w:font w:name="Liberation Serif">
    <w:altName w:val="Times New Roman"/>
    <w:charset w:val="01"/>
    <w:family w:val="roman"/>
    <w:pitch w:val="variable"/>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724232"/>
      <w:docPartObj>
        <w:docPartGallery w:val="Page Numbers (Bottom of Page)"/>
        <w:docPartUnique/>
      </w:docPartObj>
    </w:sdtPr>
    <w:sdtEndPr>
      <w:rPr>
        <w:noProof/>
      </w:rPr>
    </w:sdtEndPr>
    <w:sdtContent>
      <w:p w:rsidR="00AC540A" w:rsidRDefault="00AC540A">
        <w:pPr>
          <w:pStyle w:val="Footer"/>
          <w:jc w:val="center"/>
        </w:pPr>
        <w:r>
          <w:fldChar w:fldCharType="begin"/>
        </w:r>
        <w:r>
          <w:instrText xml:space="preserve"> PAGE   \* MERGEFORMAT </w:instrText>
        </w:r>
        <w:r>
          <w:fldChar w:fldCharType="separate"/>
        </w:r>
        <w:r w:rsidR="00FC50AD">
          <w:rPr>
            <w:noProof/>
          </w:rPr>
          <w:t>11</w:t>
        </w:r>
        <w:r>
          <w:rPr>
            <w:noProof/>
          </w:rPr>
          <w:fldChar w:fldCharType="end"/>
        </w:r>
      </w:p>
    </w:sdtContent>
  </w:sdt>
  <w:p w:rsidR="00155ABE" w:rsidRDefault="00155A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3B15" w:rsidRDefault="000D3B15">
      <w:r>
        <w:separator/>
      </w:r>
    </w:p>
  </w:footnote>
  <w:footnote w:type="continuationSeparator" w:id="0">
    <w:p w:rsidR="000D3B15" w:rsidRDefault="000D3B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B278F"/>
    <w:multiLevelType w:val="multilevel"/>
    <w:tmpl w:val="BC5A57B6"/>
    <w:lvl w:ilvl="0">
      <w:start w:val="1"/>
      <w:numFmt w:val="decimal"/>
      <w:lvlText w:val="%1."/>
      <w:lvlJc w:val="left"/>
      <w:pPr>
        <w:tabs>
          <w:tab w:val="num" w:pos="0"/>
        </w:tabs>
        <w:ind w:left="180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3612994"/>
    <w:multiLevelType w:val="hybridMultilevel"/>
    <w:tmpl w:val="55343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E13AA"/>
    <w:multiLevelType w:val="hybridMultilevel"/>
    <w:tmpl w:val="D94275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896E68"/>
    <w:multiLevelType w:val="hybridMultilevel"/>
    <w:tmpl w:val="DD0A6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7B11D6"/>
    <w:multiLevelType w:val="hybridMultilevel"/>
    <w:tmpl w:val="EBEED1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A3035A9"/>
    <w:multiLevelType w:val="multilevel"/>
    <w:tmpl w:val="9D5E9C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C836BB1"/>
    <w:multiLevelType w:val="multilevel"/>
    <w:tmpl w:val="712E51FE"/>
    <w:lvl w:ilvl="0">
      <w:start w:val="1"/>
      <w:numFmt w:val="none"/>
      <w:pStyle w:val="Heading1"/>
      <w:suff w:val="nothing"/>
      <w:lvlText w:val="%1"/>
      <w:lvlJc w:val="left"/>
      <w:pPr>
        <w:tabs>
          <w:tab w:val="num" w:pos="0"/>
        </w:tabs>
        <w:ind w:left="0" w:firstLine="0"/>
      </w:pPr>
    </w:lvl>
    <w:lvl w:ilvl="1">
      <w:start w:val="1"/>
      <w:numFmt w:val="none"/>
      <w:pStyle w:val="Heading2"/>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 w15:restartNumberingAfterBreak="0">
    <w:nsid w:val="38572E6E"/>
    <w:multiLevelType w:val="multilevel"/>
    <w:tmpl w:val="DD3AA0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3ED667AE"/>
    <w:multiLevelType w:val="multilevel"/>
    <w:tmpl w:val="871A702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6445015"/>
    <w:multiLevelType w:val="multilevel"/>
    <w:tmpl w:val="0E00992C"/>
    <w:lvl w:ilvl="0">
      <w:start w:val="1"/>
      <w:numFmt w:val="bullet"/>
      <w:lvlText w:val=""/>
      <w:lvlJc w:val="left"/>
      <w:pPr>
        <w:tabs>
          <w:tab w:val="num" w:pos="789"/>
        </w:tabs>
        <w:ind w:left="789" w:hanging="360"/>
      </w:pPr>
      <w:rPr>
        <w:rFonts w:ascii="Symbol" w:hAnsi="Symbol" w:cs="Symbol" w:hint="default"/>
        <w:sz w:val="24"/>
      </w:rPr>
    </w:lvl>
    <w:lvl w:ilvl="1">
      <w:start w:val="1"/>
      <w:numFmt w:val="bullet"/>
      <w:lvlText w:val="◦"/>
      <w:lvlJc w:val="left"/>
      <w:pPr>
        <w:tabs>
          <w:tab w:val="num" w:pos="1149"/>
        </w:tabs>
        <w:ind w:left="1149" w:hanging="360"/>
      </w:pPr>
      <w:rPr>
        <w:rFonts w:ascii="OpenSymbol" w:hAnsi="OpenSymbol" w:cs="OpenSymbol" w:hint="default"/>
        <w:sz w:val="24"/>
      </w:rPr>
    </w:lvl>
    <w:lvl w:ilvl="2">
      <w:start w:val="1"/>
      <w:numFmt w:val="bullet"/>
      <w:lvlText w:val="▪"/>
      <w:lvlJc w:val="left"/>
      <w:pPr>
        <w:tabs>
          <w:tab w:val="num" w:pos="1509"/>
        </w:tabs>
        <w:ind w:left="1509" w:hanging="360"/>
      </w:pPr>
      <w:rPr>
        <w:rFonts w:ascii="OpenSymbol" w:hAnsi="OpenSymbol" w:cs="OpenSymbol" w:hint="default"/>
      </w:rPr>
    </w:lvl>
    <w:lvl w:ilvl="3">
      <w:start w:val="1"/>
      <w:numFmt w:val="bullet"/>
      <w:lvlText w:val=""/>
      <w:lvlJc w:val="left"/>
      <w:pPr>
        <w:tabs>
          <w:tab w:val="num" w:pos="1869"/>
        </w:tabs>
        <w:ind w:left="1869" w:hanging="360"/>
      </w:pPr>
      <w:rPr>
        <w:rFonts w:ascii="Symbol" w:hAnsi="Symbol" w:cs="Symbol" w:hint="default"/>
      </w:rPr>
    </w:lvl>
    <w:lvl w:ilvl="4">
      <w:start w:val="1"/>
      <w:numFmt w:val="bullet"/>
      <w:lvlText w:val="◦"/>
      <w:lvlJc w:val="left"/>
      <w:pPr>
        <w:tabs>
          <w:tab w:val="num" w:pos="2229"/>
        </w:tabs>
        <w:ind w:left="2229" w:hanging="360"/>
      </w:pPr>
      <w:rPr>
        <w:rFonts w:ascii="OpenSymbol" w:hAnsi="OpenSymbol" w:cs="OpenSymbol" w:hint="default"/>
      </w:rPr>
    </w:lvl>
    <w:lvl w:ilvl="5">
      <w:start w:val="1"/>
      <w:numFmt w:val="bullet"/>
      <w:lvlText w:val="▪"/>
      <w:lvlJc w:val="left"/>
      <w:pPr>
        <w:tabs>
          <w:tab w:val="num" w:pos="2589"/>
        </w:tabs>
        <w:ind w:left="2589" w:hanging="360"/>
      </w:pPr>
      <w:rPr>
        <w:rFonts w:ascii="OpenSymbol" w:hAnsi="OpenSymbol" w:cs="OpenSymbol" w:hint="default"/>
      </w:rPr>
    </w:lvl>
    <w:lvl w:ilvl="6">
      <w:start w:val="1"/>
      <w:numFmt w:val="bullet"/>
      <w:lvlText w:val=""/>
      <w:lvlJc w:val="left"/>
      <w:pPr>
        <w:tabs>
          <w:tab w:val="num" w:pos="2949"/>
        </w:tabs>
        <w:ind w:left="2949" w:hanging="360"/>
      </w:pPr>
      <w:rPr>
        <w:rFonts w:ascii="Symbol" w:hAnsi="Symbol" w:cs="Symbol" w:hint="default"/>
      </w:rPr>
    </w:lvl>
    <w:lvl w:ilvl="7">
      <w:start w:val="1"/>
      <w:numFmt w:val="bullet"/>
      <w:lvlText w:val="◦"/>
      <w:lvlJc w:val="left"/>
      <w:pPr>
        <w:tabs>
          <w:tab w:val="num" w:pos="3309"/>
        </w:tabs>
        <w:ind w:left="3309" w:hanging="360"/>
      </w:pPr>
      <w:rPr>
        <w:rFonts w:ascii="OpenSymbol" w:hAnsi="OpenSymbol" w:cs="OpenSymbol" w:hint="default"/>
      </w:rPr>
    </w:lvl>
    <w:lvl w:ilvl="8">
      <w:start w:val="1"/>
      <w:numFmt w:val="bullet"/>
      <w:lvlText w:val="▪"/>
      <w:lvlJc w:val="left"/>
      <w:pPr>
        <w:tabs>
          <w:tab w:val="num" w:pos="3669"/>
        </w:tabs>
        <w:ind w:left="3669" w:hanging="360"/>
      </w:pPr>
      <w:rPr>
        <w:rFonts w:ascii="OpenSymbol" w:hAnsi="OpenSymbol" w:cs="OpenSymbol" w:hint="default"/>
      </w:rPr>
    </w:lvl>
  </w:abstractNum>
  <w:abstractNum w:abstractNumId="10" w15:restartNumberingAfterBreak="0">
    <w:nsid w:val="512C4253"/>
    <w:multiLevelType w:val="hybridMultilevel"/>
    <w:tmpl w:val="FDEC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876DC0"/>
    <w:multiLevelType w:val="multilevel"/>
    <w:tmpl w:val="7C88CC3E"/>
    <w:lvl w:ilvl="0">
      <w:start w:val="1"/>
      <w:numFmt w:val="bullet"/>
      <w:lvlText w:val="-"/>
      <w:lvlJc w:val="left"/>
      <w:pPr>
        <w:tabs>
          <w:tab w:val="num" w:pos="1080"/>
        </w:tabs>
        <w:ind w:left="108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F1D2570"/>
    <w:multiLevelType w:val="hybridMultilevel"/>
    <w:tmpl w:val="D2DA6F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351CAB"/>
    <w:multiLevelType w:val="multilevel"/>
    <w:tmpl w:val="19E0F7F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720A4C5A"/>
    <w:multiLevelType w:val="multilevel"/>
    <w:tmpl w:val="C05E817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4CE6571"/>
    <w:multiLevelType w:val="multilevel"/>
    <w:tmpl w:val="B846E9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6"/>
  </w:num>
  <w:num w:numId="2">
    <w:abstractNumId w:val="14"/>
  </w:num>
  <w:num w:numId="3">
    <w:abstractNumId w:val="9"/>
  </w:num>
  <w:num w:numId="4">
    <w:abstractNumId w:val="11"/>
  </w:num>
  <w:num w:numId="5">
    <w:abstractNumId w:val="0"/>
  </w:num>
  <w:num w:numId="6">
    <w:abstractNumId w:val="7"/>
  </w:num>
  <w:num w:numId="7">
    <w:abstractNumId w:val="15"/>
  </w:num>
  <w:num w:numId="8">
    <w:abstractNumId w:val="13"/>
  </w:num>
  <w:num w:numId="9">
    <w:abstractNumId w:val="8"/>
  </w:num>
  <w:num w:numId="10">
    <w:abstractNumId w:val="5"/>
  </w:num>
  <w:num w:numId="11">
    <w:abstractNumId w:val="12"/>
  </w:num>
  <w:num w:numId="12">
    <w:abstractNumId w:val="1"/>
  </w:num>
  <w:num w:numId="13">
    <w:abstractNumId w:val="3"/>
  </w:num>
  <w:num w:numId="14">
    <w:abstractNumId w:val="10"/>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A31"/>
    <w:rsid w:val="0001515E"/>
    <w:rsid w:val="0002456C"/>
    <w:rsid w:val="00033C6E"/>
    <w:rsid w:val="00050329"/>
    <w:rsid w:val="00050E2D"/>
    <w:rsid w:val="00073041"/>
    <w:rsid w:val="000D3B15"/>
    <w:rsid w:val="001060E2"/>
    <w:rsid w:val="00155ABE"/>
    <w:rsid w:val="001976F8"/>
    <w:rsid w:val="001B12A0"/>
    <w:rsid w:val="001E2E3E"/>
    <w:rsid w:val="001E4506"/>
    <w:rsid w:val="00243D3E"/>
    <w:rsid w:val="00263082"/>
    <w:rsid w:val="00266B69"/>
    <w:rsid w:val="00280A38"/>
    <w:rsid w:val="003172E2"/>
    <w:rsid w:val="00366216"/>
    <w:rsid w:val="00392725"/>
    <w:rsid w:val="003972F3"/>
    <w:rsid w:val="00422F16"/>
    <w:rsid w:val="00430833"/>
    <w:rsid w:val="00460329"/>
    <w:rsid w:val="00464BF6"/>
    <w:rsid w:val="004958A9"/>
    <w:rsid w:val="004A2134"/>
    <w:rsid w:val="004B49BC"/>
    <w:rsid w:val="004C7F0E"/>
    <w:rsid w:val="0055483A"/>
    <w:rsid w:val="00555DB5"/>
    <w:rsid w:val="005E0A31"/>
    <w:rsid w:val="005F3E19"/>
    <w:rsid w:val="00607A0B"/>
    <w:rsid w:val="0061629E"/>
    <w:rsid w:val="00685266"/>
    <w:rsid w:val="006C47C9"/>
    <w:rsid w:val="006E4FFA"/>
    <w:rsid w:val="0073086A"/>
    <w:rsid w:val="00743EED"/>
    <w:rsid w:val="00754936"/>
    <w:rsid w:val="00776421"/>
    <w:rsid w:val="007B6C73"/>
    <w:rsid w:val="008224E3"/>
    <w:rsid w:val="00846F36"/>
    <w:rsid w:val="00863769"/>
    <w:rsid w:val="008B0B30"/>
    <w:rsid w:val="008B3230"/>
    <w:rsid w:val="008E79AD"/>
    <w:rsid w:val="009139E1"/>
    <w:rsid w:val="00941CE9"/>
    <w:rsid w:val="00955544"/>
    <w:rsid w:val="009621CF"/>
    <w:rsid w:val="00966AA5"/>
    <w:rsid w:val="0097489C"/>
    <w:rsid w:val="00982735"/>
    <w:rsid w:val="00991DD1"/>
    <w:rsid w:val="00993B28"/>
    <w:rsid w:val="00A47394"/>
    <w:rsid w:val="00A812D1"/>
    <w:rsid w:val="00AC540A"/>
    <w:rsid w:val="00AD78A2"/>
    <w:rsid w:val="00AF3B0F"/>
    <w:rsid w:val="00AF5152"/>
    <w:rsid w:val="00B062EC"/>
    <w:rsid w:val="00B30282"/>
    <w:rsid w:val="00B64224"/>
    <w:rsid w:val="00B72268"/>
    <w:rsid w:val="00BF4407"/>
    <w:rsid w:val="00C826D1"/>
    <w:rsid w:val="00CA181D"/>
    <w:rsid w:val="00CA3A32"/>
    <w:rsid w:val="00CE590B"/>
    <w:rsid w:val="00D025B8"/>
    <w:rsid w:val="00D26A81"/>
    <w:rsid w:val="00D82CF4"/>
    <w:rsid w:val="00D8528F"/>
    <w:rsid w:val="00DB69C5"/>
    <w:rsid w:val="00DE2BF2"/>
    <w:rsid w:val="00DE57BF"/>
    <w:rsid w:val="00DF1606"/>
    <w:rsid w:val="00E319AC"/>
    <w:rsid w:val="00EA2E85"/>
    <w:rsid w:val="00EB64F5"/>
    <w:rsid w:val="00EC2BB5"/>
    <w:rsid w:val="00F4141E"/>
    <w:rsid w:val="00F44ACF"/>
    <w:rsid w:val="00F45800"/>
    <w:rsid w:val="00F56E16"/>
    <w:rsid w:val="00F701EF"/>
    <w:rsid w:val="00F829D1"/>
    <w:rsid w:val="00FA727D"/>
    <w:rsid w:val="00FC50AD"/>
    <w:rsid w:val="00FD59E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8049D54-15AD-4A21-8B23-8779C2AA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erif CJK SC" w:hAnsi="Liberation Serif" w:cs="Lohit Devanagari"/>
        <w:kern w:val="2"/>
        <w:sz w:val="24"/>
        <w:szCs w:val="24"/>
        <w:lang w:val="sr-Latn-ME"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ing"/>
    <w:next w:val="BodyText"/>
    <w:qFormat/>
    <w:rsid w:val="00366216"/>
    <w:pPr>
      <w:numPr>
        <w:numId w:val="1"/>
      </w:numPr>
      <w:outlineLvl w:val="0"/>
    </w:pPr>
    <w:rPr>
      <w:bCs/>
      <w:szCs w:val="36"/>
    </w:rPr>
  </w:style>
  <w:style w:type="paragraph" w:styleId="Heading2">
    <w:name w:val="heading 2"/>
    <w:basedOn w:val="Heading"/>
    <w:next w:val="BodyText"/>
    <w:qFormat/>
    <w:rsid w:val="00366216"/>
    <w:pPr>
      <w:numPr>
        <w:ilvl w:val="1"/>
        <w:numId w:val="1"/>
      </w:numPr>
      <w:spacing w:before="200"/>
      <w:outlineLvl w:val="1"/>
    </w:pPr>
    <w:rPr>
      <w:b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80"/>
      <w:u w:val="single"/>
    </w:rPr>
  </w:style>
  <w:style w:type="character" w:customStyle="1" w:styleId="IndexLink">
    <w:name w:val="Index Link"/>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Times New Roman" w:eastAsia="Times New Roman" w:hAnsi="Times New Roman" w:cs="Times New Roman"/>
    </w:rPr>
  </w:style>
  <w:style w:type="character" w:customStyle="1" w:styleId="WW8Num1z0">
    <w:name w:val="WW8Num1z0"/>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sid w:val="00E166EB"/>
    <w:rPr>
      <w:rFonts w:ascii="Tahoma" w:hAnsi="Tahoma" w:cs="Mangal"/>
      <w:sz w:val="16"/>
      <w:szCs w:val="14"/>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paragraph" w:customStyle="1" w:styleId="Heading">
    <w:name w:val="Heading"/>
    <w:basedOn w:val="Normal"/>
    <w:next w:val="BodyText"/>
    <w:qFormat/>
    <w:rsid w:val="00EC2BB5"/>
    <w:pPr>
      <w:keepNext/>
      <w:spacing w:before="240" w:after="120"/>
    </w:pPr>
    <w:rPr>
      <w:rFonts w:ascii="Times New Roman" w:eastAsia="Noto Sans CJK SC" w:hAnsi="Times New Roman"/>
      <w:b/>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IndexHeading">
    <w:name w:val="index heading"/>
    <w:basedOn w:val="Heading"/>
  </w:style>
  <w:style w:type="paragraph" w:styleId="TOCHeading">
    <w:name w:val="TOC Heading"/>
    <w:basedOn w:val="IndexHeading"/>
  </w:style>
  <w:style w:type="paragraph" w:styleId="TOC1">
    <w:name w:val="toc 1"/>
    <w:basedOn w:val="Index"/>
    <w:uiPriority w:val="39"/>
    <w:pPr>
      <w:tabs>
        <w:tab w:val="right" w:leader="dot" w:pos="9638"/>
      </w:tabs>
    </w:pPr>
  </w:style>
  <w:style w:type="paragraph" w:styleId="TOC2">
    <w:name w:val="toc 2"/>
    <w:basedOn w:val="Index"/>
    <w:uiPriority w:val="39"/>
    <w:pPr>
      <w:tabs>
        <w:tab w:val="right" w:leader="dot" w:pos="9638"/>
      </w:tabs>
      <w:ind w:left="283"/>
    </w:pPr>
  </w:style>
  <w:style w:type="paragraph" w:customStyle="1" w:styleId="HeaderandFooter">
    <w:name w:val="Header and Footer"/>
    <w:basedOn w:val="Normal"/>
    <w:qFormat/>
    <w:rsid w:val="004C7F0E"/>
    <w:pPr>
      <w:suppressLineNumbers/>
      <w:tabs>
        <w:tab w:val="center" w:pos="4819"/>
        <w:tab w:val="right" w:pos="9638"/>
      </w:tabs>
    </w:pPr>
    <w:rPr>
      <w:rFonts w:ascii="Times New Roman" w:hAnsi="Times New Roman"/>
      <w:b/>
      <w:sz w:val="28"/>
    </w:rPr>
  </w:style>
  <w:style w:type="paragraph" w:styleId="Footer">
    <w:name w:val="footer"/>
    <w:basedOn w:val="HeaderandFooter"/>
    <w:link w:val="FooterChar"/>
    <w:uiPriority w:val="99"/>
  </w:style>
  <w:style w:type="paragraph" w:styleId="BalloonText">
    <w:name w:val="Balloon Text"/>
    <w:basedOn w:val="Normal"/>
    <w:link w:val="BalloonTextChar"/>
    <w:uiPriority w:val="99"/>
    <w:semiHidden/>
    <w:unhideWhenUsed/>
    <w:qFormat/>
    <w:rsid w:val="00E166EB"/>
    <w:rPr>
      <w:rFonts w:ascii="Tahoma" w:hAnsi="Tahoma" w:cs="Mangal"/>
      <w:sz w:val="16"/>
      <w:szCs w:val="14"/>
    </w:rPr>
  </w:style>
  <w:style w:type="numbering" w:customStyle="1" w:styleId="WW8Num2">
    <w:name w:val="WW8Num2"/>
    <w:qFormat/>
  </w:style>
  <w:style w:type="numbering" w:customStyle="1" w:styleId="WW8Num3">
    <w:name w:val="WW8Num3"/>
    <w:qFormat/>
  </w:style>
  <w:style w:type="numbering" w:customStyle="1" w:styleId="WW8Num1">
    <w:name w:val="WW8Num1"/>
    <w:qFormat/>
  </w:style>
  <w:style w:type="paragraph" w:styleId="ListParagraph">
    <w:name w:val="List Paragraph"/>
    <w:basedOn w:val="Normal"/>
    <w:uiPriority w:val="34"/>
    <w:qFormat/>
    <w:rsid w:val="00AF3B0F"/>
    <w:pPr>
      <w:ind w:left="720"/>
      <w:contextualSpacing/>
    </w:pPr>
    <w:rPr>
      <w:rFonts w:cs="Mangal"/>
      <w:szCs w:val="21"/>
    </w:rPr>
  </w:style>
  <w:style w:type="character" w:styleId="PlaceholderText">
    <w:name w:val="Placeholder Text"/>
    <w:basedOn w:val="DefaultParagraphFont"/>
    <w:uiPriority w:val="99"/>
    <w:semiHidden/>
    <w:rsid w:val="001976F8"/>
    <w:rPr>
      <w:color w:val="808080"/>
    </w:rPr>
  </w:style>
  <w:style w:type="paragraph" w:styleId="Header">
    <w:name w:val="header"/>
    <w:basedOn w:val="Normal"/>
    <w:link w:val="HeaderChar"/>
    <w:uiPriority w:val="99"/>
    <w:unhideWhenUsed/>
    <w:rsid w:val="00366216"/>
    <w:pPr>
      <w:tabs>
        <w:tab w:val="center" w:pos="4513"/>
        <w:tab w:val="right" w:pos="9026"/>
      </w:tabs>
    </w:pPr>
    <w:rPr>
      <w:rFonts w:cs="Mangal"/>
      <w:szCs w:val="21"/>
    </w:rPr>
  </w:style>
  <w:style w:type="character" w:customStyle="1" w:styleId="HeaderChar">
    <w:name w:val="Header Char"/>
    <w:basedOn w:val="DefaultParagraphFont"/>
    <w:link w:val="Header"/>
    <w:uiPriority w:val="99"/>
    <w:rsid w:val="00366216"/>
    <w:rPr>
      <w:rFonts w:cs="Mangal"/>
      <w:szCs w:val="21"/>
    </w:rPr>
  </w:style>
  <w:style w:type="character" w:customStyle="1" w:styleId="FooterChar">
    <w:name w:val="Footer Char"/>
    <w:basedOn w:val="DefaultParagraphFont"/>
    <w:link w:val="Footer"/>
    <w:uiPriority w:val="99"/>
    <w:rsid w:val="0097489C"/>
    <w:rPr>
      <w:rFonts w:ascii="Times New Roman" w:hAnsi="Times New Roman"/>
      <w:b/>
      <w:sz w:val="28"/>
    </w:rPr>
  </w:style>
  <w:style w:type="table" w:styleId="TableGrid">
    <w:name w:val="Table Grid"/>
    <w:basedOn w:val="TableNormal"/>
    <w:uiPriority w:val="59"/>
    <w:rsid w:val="006C47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15440-C23B-4518-9AF2-B65E64A49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Pages>
  <Words>3021</Words>
  <Characters>17221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Popovic</dc:creator>
  <dc:description/>
  <cp:lastModifiedBy>Microsoft account</cp:lastModifiedBy>
  <cp:revision>22</cp:revision>
  <dcterms:created xsi:type="dcterms:W3CDTF">2026-10-25T11:40:00Z</dcterms:created>
  <dcterms:modified xsi:type="dcterms:W3CDTF">2026-10-28T11:25:00Z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69546b9eec32e7d62f67f55b4a20529e2525bc289c406ccabef46271ab0be4ea</vt:lpwstr>
  </property>
</Properties>
</file>